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0ECC" w14:textId="7B6CC1D8" w:rsidR="0045699A" w:rsidRPr="003716DE" w:rsidRDefault="005D64BD" w:rsidP="0045699A">
      <w:pPr>
        <w:pStyle w:val="NormalWeb"/>
        <w:shd w:val="clear" w:color="auto" w:fill="FFFFFF"/>
        <w:contextualSpacing/>
        <w:rPr>
          <w:rFonts w:asciiTheme="minorHAnsi" w:hAnsiTheme="minorHAnsi" w:cs="Arial"/>
          <w:b/>
          <w:color w:val="000000"/>
          <w:sz w:val="24"/>
          <w:szCs w:val="24"/>
        </w:rPr>
      </w:pP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t>SUPPLEMENTARY MATERIAL</w:t>
      </w:r>
    </w:p>
    <w:p w14:paraId="302A375F" w14:textId="77777777" w:rsidR="003716DE" w:rsidRPr="003716DE" w:rsidRDefault="003716DE" w:rsidP="003716DE">
      <w:pPr>
        <w:rPr>
          <w:rFonts w:cs="Arial"/>
          <w:b/>
        </w:rPr>
      </w:pPr>
      <w:r w:rsidRPr="003716DE">
        <w:rPr>
          <w:rFonts w:cs="Arial"/>
          <w:b/>
        </w:rPr>
        <w:t>Table 1: Exclusion Criteria</w:t>
      </w:r>
    </w:p>
    <w:p w14:paraId="5E9AFD1E" w14:textId="77777777" w:rsidR="003716DE" w:rsidRPr="003716DE" w:rsidRDefault="003716DE" w:rsidP="003716DE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4"/>
      </w:tblGrid>
      <w:tr w:rsidR="003716DE" w:rsidRPr="003716DE" w14:paraId="7F46F00E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7AED5E48" w14:textId="77777777" w:rsidR="003716DE" w:rsidRPr="003716DE" w:rsidRDefault="003716DE" w:rsidP="009E2E9B">
            <w:pPr>
              <w:rPr>
                <w:rFonts w:cs="Arial"/>
                <w:b/>
                <w:bCs/>
                <w:u w:val="single"/>
              </w:rPr>
            </w:pPr>
            <w:r w:rsidRPr="003716DE">
              <w:rPr>
                <w:rFonts w:cs="Arial"/>
                <w:b/>
                <w:bCs/>
                <w:u w:val="single"/>
              </w:rPr>
              <w:t>Proportion of Tests Excluded:</w:t>
            </w:r>
            <w:r w:rsidRPr="003716DE">
              <w:rPr>
                <w:rFonts w:cs="Arial"/>
              </w:rPr>
              <w:t xml:space="preserve"> 362/2179 (16.6%)</w:t>
            </w:r>
          </w:p>
        </w:tc>
      </w:tr>
      <w:tr w:rsidR="003716DE" w:rsidRPr="003716DE" w14:paraId="0B88697F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5F744BAF" w14:textId="77777777" w:rsidR="003716DE" w:rsidRPr="003716DE" w:rsidRDefault="003716DE" w:rsidP="009E2E9B">
            <w:pPr>
              <w:rPr>
                <w:rFonts w:cs="Arial"/>
                <w:b/>
                <w:bCs/>
                <w:u w:val="single"/>
              </w:rPr>
            </w:pPr>
            <w:r w:rsidRPr="003716DE">
              <w:rPr>
                <w:rFonts w:cs="Arial"/>
                <w:b/>
                <w:bCs/>
                <w:u w:val="single"/>
              </w:rPr>
              <w:t>Exclusion Criteria</w:t>
            </w:r>
          </w:p>
        </w:tc>
      </w:tr>
      <w:tr w:rsidR="003716DE" w:rsidRPr="003716DE" w14:paraId="4482EA6D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0B43D65A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 xml:space="preserve">Workup of isolated </w:t>
            </w:r>
            <w:proofErr w:type="spellStart"/>
            <w:r w:rsidRPr="003716DE">
              <w:rPr>
                <w:rFonts w:cs="Arial"/>
              </w:rPr>
              <w:t>cytopenias</w:t>
            </w:r>
            <w:proofErr w:type="spellEnd"/>
          </w:p>
        </w:tc>
      </w:tr>
      <w:tr w:rsidR="003716DE" w:rsidRPr="003716DE" w14:paraId="4F8B5AE3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6D68261F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Workup of new or known autoimmune diseases (e.g. lupus, rheumatoid arthritis)</w:t>
            </w:r>
          </w:p>
        </w:tc>
      </w:tr>
      <w:tr w:rsidR="003716DE" w:rsidRPr="003716DE" w14:paraId="6D25440A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302A9866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Workup of cutaneous lesions and rashes</w:t>
            </w:r>
          </w:p>
        </w:tc>
      </w:tr>
      <w:tr w:rsidR="003716DE" w:rsidRPr="003716DE" w14:paraId="043AD31A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49B01C4F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Patients with left ventricular assist devices</w:t>
            </w:r>
          </w:p>
        </w:tc>
      </w:tr>
      <w:tr w:rsidR="003716DE" w:rsidRPr="003716DE" w14:paraId="132B7901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5FC13C19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Standard workup of undifferentiated pulmonary hypertension</w:t>
            </w:r>
          </w:p>
        </w:tc>
      </w:tr>
      <w:tr w:rsidR="003716DE" w:rsidRPr="003716DE" w14:paraId="4633E0DE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05CDE0C0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 xml:space="preserve">Workup of isolated elevated </w:t>
            </w:r>
            <w:proofErr w:type="spellStart"/>
            <w:r w:rsidRPr="003716DE">
              <w:rPr>
                <w:rFonts w:cs="Arial"/>
              </w:rPr>
              <w:t>prothrombin</w:t>
            </w:r>
            <w:proofErr w:type="spellEnd"/>
            <w:r w:rsidRPr="003716DE">
              <w:rPr>
                <w:rFonts w:cs="Arial"/>
              </w:rPr>
              <w:t xml:space="preserve"> time or partial </w:t>
            </w:r>
            <w:proofErr w:type="spellStart"/>
            <w:r w:rsidRPr="003716DE">
              <w:rPr>
                <w:rFonts w:cs="Arial"/>
              </w:rPr>
              <w:t>thromboplastin</w:t>
            </w:r>
            <w:proofErr w:type="spellEnd"/>
            <w:r w:rsidRPr="003716DE">
              <w:rPr>
                <w:rFonts w:cs="Arial"/>
              </w:rPr>
              <w:t xml:space="preserve"> time</w:t>
            </w:r>
          </w:p>
        </w:tc>
      </w:tr>
      <w:tr w:rsidR="003716DE" w:rsidRPr="003716DE" w14:paraId="603E1E42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4F468A8D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Workup sent solely on suspicion of possible thrombotic event without diagnostic confirmation</w:t>
            </w:r>
          </w:p>
        </w:tc>
      </w:tr>
      <w:tr w:rsidR="003716DE" w:rsidRPr="003716DE" w14:paraId="2564CCB0" w14:textId="77777777" w:rsidTr="009E2E9B">
        <w:trPr>
          <w:trHeight w:val="300"/>
        </w:trPr>
        <w:tc>
          <w:tcPr>
            <w:tcW w:w="8224" w:type="dxa"/>
            <w:noWrap/>
            <w:hideMark/>
          </w:tcPr>
          <w:p w14:paraId="4A1BBE6A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Tests ordered with no documentation or justification</w:t>
            </w:r>
          </w:p>
        </w:tc>
      </w:tr>
    </w:tbl>
    <w:p w14:paraId="270D5029" w14:textId="77777777" w:rsidR="003716DE" w:rsidRPr="003716DE" w:rsidRDefault="003716DE" w:rsidP="003716DE"/>
    <w:p w14:paraId="44C8EEAA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t>Table 2: Thrombophilia Testing Reimbursement Rates, CMS 2016</w:t>
      </w: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fldChar w:fldCharType="begin"/>
      </w: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instrText xml:space="preserve"> ADDIN EN.CITE &lt;EndNote&gt;&lt;Cite&gt;&lt;RecNum&gt;39&lt;/RecNum&gt;&lt;DisplayText&gt;&lt;style face="superscript"&gt;6&lt;/style&gt;&lt;/DisplayText&gt;&lt;record&gt;&lt;rec-number&gt;39&lt;/rec-number&gt;&lt;foreign-keys&gt;&lt;key app="EN" db-id="pexavz22gdpdwwea2xpvappgtdde5w95z0de" timestamp="1476680137"&gt;39&lt;/key&gt;&lt;/foreign-keys&gt;&lt;ref-type name="Web Page"&gt;12&lt;/ref-type&gt;&lt;contributors&gt;&lt;/contributors&gt;&lt;titles&gt;&lt;title&gt;Centers for Medicare and Medicaid Services: Clinical Laboratory Fee Schedule Files&lt;/title&gt;&lt;/titles&gt;&lt;number&gt;October 2016&lt;/number&gt;&lt;dates&gt;&lt;/dates&gt;&lt;urls&gt;&lt;related-urls&gt;&lt;url&gt;https://www.cms.gov/Medicare/Medicare-Fee-for-Service-Payment/ClinicalLabFeeSched/Clinical-Laboratory-Fee-Schedule-Files.html&lt;/url&gt;&lt;/related-urls&gt;&lt;/urls&gt;&lt;/record&gt;&lt;/Cite&gt;&lt;/EndNote&gt;</w:instrText>
      </w: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fldChar w:fldCharType="separate"/>
      </w:r>
      <w:r w:rsidRPr="003716DE">
        <w:rPr>
          <w:rFonts w:asciiTheme="minorHAnsi" w:hAnsiTheme="minorHAnsi" w:cs="Arial"/>
          <w:b/>
          <w:noProof/>
          <w:color w:val="000000"/>
          <w:sz w:val="24"/>
          <w:szCs w:val="24"/>
          <w:vertAlign w:val="superscript"/>
        </w:rPr>
        <w:t>6</w:t>
      </w: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fldChar w:fldCharType="end"/>
      </w:r>
      <w:r w:rsidRPr="003716DE">
        <w:rPr>
          <w:rFonts w:asciiTheme="minorHAnsi" w:hAnsiTheme="minorHAnsi" w:cs="Arial"/>
          <w:b/>
          <w:color w:val="000000"/>
          <w:sz w:val="24"/>
          <w:szCs w:val="24"/>
          <w:vertAlign w:val="superscript"/>
        </w:rPr>
        <w:t>,</w:t>
      </w:r>
      <w:r w:rsidRPr="003716DE">
        <w:rPr>
          <w:rStyle w:val="FootnoteReference"/>
          <w:rFonts w:asciiTheme="minorHAnsi" w:hAnsiTheme="minorHAnsi" w:cs="Arial"/>
          <w:b/>
          <w:color w:val="000000"/>
          <w:sz w:val="24"/>
          <w:szCs w:val="24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0"/>
        <w:gridCol w:w="2320"/>
      </w:tblGrid>
      <w:tr w:rsidR="003716DE" w:rsidRPr="003716DE" w14:paraId="32FB4E90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6B78CB51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16D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  <w:t>Test</w:t>
            </w:r>
          </w:p>
        </w:tc>
        <w:tc>
          <w:tcPr>
            <w:tcW w:w="2320" w:type="dxa"/>
            <w:noWrap/>
            <w:hideMark/>
          </w:tcPr>
          <w:p w14:paraId="141CE148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16D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  <w:t>Cost (USD)</w:t>
            </w:r>
          </w:p>
        </w:tc>
      </w:tr>
      <w:tr w:rsidR="003716DE" w:rsidRPr="003716DE" w14:paraId="73B546C6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6E01C81F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Anticardiolipin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IgG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320" w:type="dxa"/>
            <w:noWrap/>
            <w:hideMark/>
          </w:tcPr>
          <w:p w14:paraId="556736FC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$35</w:t>
            </w:r>
          </w:p>
        </w:tc>
      </w:tr>
      <w:tr w:rsidR="003716DE" w:rsidRPr="003716DE" w14:paraId="3B0B1B19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0C6902FC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Beta-2 glycoprotein 1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IgG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/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IgM</w:t>
            </w:r>
            <w:proofErr w:type="spellEnd"/>
          </w:p>
        </w:tc>
        <w:tc>
          <w:tcPr>
            <w:tcW w:w="2320" w:type="dxa"/>
            <w:noWrap/>
            <w:hideMark/>
          </w:tcPr>
          <w:p w14:paraId="33A42423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$69</w:t>
            </w:r>
          </w:p>
        </w:tc>
      </w:tr>
      <w:tr w:rsidR="003716DE" w:rsidRPr="003716DE" w14:paraId="18C90B22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341B5364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dRRVT</w:t>
            </w:r>
            <w:proofErr w:type="spellEnd"/>
            <w:proofErr w:type="gramEnd"/>
          </w:p>
        </w:tc>
        <w:tc>
          <w:tcPr>
            <w:tcW w:w="2320" w:type="dxa"/>
            <w:noWrap/>
            <w:hideMark/>
          </w:tcPr>
          <w:p w14:paraId="175AFDD8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$13</w:t>
            </w:r>
          </w:p>
        </w:tc>
      </w:tr>
      <w:tr w:rsidR="003716DE" w:rsidRPr="003716DE" w14:paraId="4C00DE33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73BCCBA6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Lupus anticoagulant</w:t>
            </w:r>
          </w:p>
        </w:tc>
        <w:tc>
          <w:tcPr>
            <w:tcW w:w="2320" w:type="dxa"/>
            <w:noWrap/>
            <w:hideMark/>
          </w:tcPr>
          <w:p w14:paraId="2CDD9744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$108</w:t>
            </w:r>
          </w:p>
        </w:tc>
      </w:tr>
      <w:tr w:rsidR="003716DE" w:rsidRPr="003716DE" w14:paraId="77E09B71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585923D7" w14:textId="27342330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Antithrombin</w:t>
            </w:r>
            <w:proofErr w:type="spellEnd"/>
            <w:r w:rsidR="00ED71E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Activity</w:t>
            </w:r>
          </w:p>
        </w:tc>
        <w:tc>
          <w:tcPr>
            <w:tcW w:w="2320" w:type="dxa"/>
            <w:noWrap/>
            <w:hideMark/>
          </w:tcPr>
          <w:p w14:paraId="6EC0DCB9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$16</w:t>
            </w:r>
          </w:p>
        </w:tc>
      </w:tr>
      <w:tr w:rsidR="003716DE" w:rsidRPr="003716DE" w14:paraId="163F876A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7EB8302A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Factor V Leiden</w:t>
            </w:r>
          </w:p>
        </w:tc>
        <w:tc>
          <w:tcPr>
            <w:tcW w:w="2320" w:type="dxa"/>
            <w:noWrap/>
            <w:hideMark/>
          </w:tcPr>
          <w:p w14:paraId="7B1CADAC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$83</w:t>
            </w:r>
          </w:p>
        </w:tc>
      </w:tr>
      <w:tr w:rsidR="003716DE" w:rsidRPr="003716DE" w14:paraId="19EDC23C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1E3A9E9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Prothrombin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20210 gene mutation</w:t>
            </w:r>
          </w:p>
        </w:tc>
        <w:tc>
          <w:tcPr>
            <w:tcW w:w="2320" w:type="dxa"/>
            <w:noWrap/>
            <w:hideMark/>
          </w:tcPr>
          <w:p w14:paraId="49E2B95B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$67</w:t>
            </w:r>
          </w:p>
        </w:tc>
      </w:tr>
      <w:tr w:rsidR="003716DE" w:rsidRPr="003716DE" w14:paraId="425BB14C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51413A08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Protein C Activity</w:t>
            </w:r>
          </w:p>
        </w:tc>
        <w:tc>
          <w:tcPr>
            <w:tcW w:w="2320" w:type="dxa"/>
            <w:noWrap/>
            <w:hideMark/>
          </w:tcPr>
          <w:p w14:paraId="4E5C34A0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$19</w:t>
            </w:r>
          </w:p>
        </w:tc>
      </w:tr>
      <w:tr w:rsidR="003716DE" w:rsidRPr="003716DE" w14:paraId="58BDE961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52AD7BE9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Protein S Activity</w:t>
            </w:r>
          </w:p>
        </w:tc>
        <w:tc>
          <w:tcPr>
            <w:tcW w:w="2320" w:type="dxa"/>
            <w:noWrap/>
            <w:hideMark/>
          </w:tcPr>
          <w:p w14:paraId="64778889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$21</w:t>
            </w:r>
          </w:p>
        </w:tc>
      </w:tr>
      <w:tr w:rsidR="003716DE" w:rsidRPr="003716DE" w14:paraId="495CE19F" w14:textId="77777777" w:rsidTr="009E2E9B">
        <w:trPr>
          <w:trHeight w:val="300"/>
        </w:trPr>
        <w:tc>
          <w:tcPr>
            <w:tcW w:w="5720" w:type="dxa"/>
            <w:noWrap/>
            <w:hideMark/>
          </w:tcPr>
          <w:p w14:paraId="08AF0083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JAK2 V617F Mutation</w:t>
            </w:r>
          </w:p>
        </w:tc>
        <w:tc>
          <w:tcPr>
            <w:tcW w:w="2320" w:type="dxa"/>
            <w:noWrap/>
            <w:hideMark/>
          </w:tcPr>
          <w:p w14:paraId="3CB36600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16DE">
              <w:rPr>
                <w:rFonts w:asciiTheme="minorHAnsi" w:hAnsiTheme="minorHAnsi" w:cs="Arial"/>
                <w:color w:val="000000"/>
                <w:sz w:val="24"/>
                <w:szCs w:val="24"/>
              </w:rPr>
              <w:t>$125</w:t>
            </w:r>
          </w:p>
        </w:tc>
      </w:tr>
    </w:tbl>
    <w:p w14:paraId="0B485F84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284FAC1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B54CD61" w14:textId="77777777" w:rsid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63EA272B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F57B809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294B9F8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t>Table 3: Criteria Used to Determine Appropriateness of Test Ordering</w:t>
      </w:r>
      <w:r w:rsidRPr="003716DE">
        <w:rPr>
          <w:rStyle w:val="FootnoteReference"/>
          <w:rFonts w:asciiTheme="minorHAnsi" w:hAnsiTheme="minorHAnsi" w:cs="Arial"/>
          <w:b/>
          <w:color w:val="000000"/>
          <w:sz w:val="24"/>
          <w:szCs w:val="24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0"/>
      </w:tblGrid>
      <w:tr w:rsidR="003716DE" w:rsidRPr="003716DE" w14:paraId="349DA9C2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4EAF42AC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16D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  <w:t>Inappropriate Ordering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670"/>
      </w:tblGrid>
      <w:tr w:rsidR="003716DE" w:rsidRPr="003716DE" w14:paraId="00183486" w14:textId="77777777" w:rsidTr="009E2E9B">
        <w:trPr>
          <w:trHeight w:val="350"/>
        </w:trPr>
        <w:tc>
          <w:tcPr>
            <w:tcW w:w="8670" w:type="dxa"/>
            <w:noWrap/>
            <w:hideMark/>
          </w:tcPr>
          <w:p w14:paraId="1F86592F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Patient characteristics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0"/>
      </w:tblGrid>
      <w:tr w:rsidR="003716DE" w:rsidRPr="003716DE" w14:paraId="0F63FF7A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3BA3A0FE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Provoked VTE occurring in the setting of major transient risk factor within 3 months (e.g. trauma, surgery, immobility)</w:t>
            </w:r>
          </w:p>
        </w:tc>
      </w:tr>
      <w:tr w:rsidR="003716DE" w:rsidRPr="003716DE" w14:paraId="3A7752A2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A4CAC36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Pregnancy-related VTE</w:t>
            </w:r>
          </w:p>
        </w:tc>
      </w:tr>
      <w:tr w:rsidR="003716DE" w:rsidRPr="003716DE" w14:paraId="263BC9E2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EA9E17A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Advanced liver disease and abnormal function</w:t>
            </w:r>
          </w:p>
        </w:tc>
      </w:tr>
      <w:tr w:rsidR="003716DE" w:rsidRPr="003716DE" w14:paraId="0511901F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5EBC9E4B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Ordering factor V Leiden or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prothrombin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20210 gene mutation in patients who have had a liver transplant (no correlation between patient’s genotype and factor status produced by the new liver)</w:t>
            </w:r>
          </w:p>
        </w:tc>
      </w:tr>
      <w:tr w:rsidR="003716DE" w:rsidRPr="003716DE" w14:paraId="65301160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DD2A5D2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Timing</w:t>
            </w:r>
          </w:p>
        </w:tc>
      </w:tr>
      <w:tr w:rsidR="003716DE" w:rsidRPr="003716DE" w14:paraId="1E44F763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0177089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Ordering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antithrombin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, protein C or S activity levels during the first 3 months of anticoagulant therapy</w:t>
            </w:r>
          </w:p>
        </w:tc>
      </w:tr>
      <w:tr w:rsidR="003716DE" w:rsidRPr="003716DE" w14:paraId="032ED444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56D34C9C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Ordering protein C or S activity levels during warfarin therapy, or within 2 weeks of stopping warfarin</w:t>
            </w:r>
          </w:p>
        </w:tc>
      </w:tr>
      <w:tr w:rsidR="003716DE" w:rsidRPr="003716DE" w14:paraId="18764804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3691F524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Ordering lupus anticoagulant,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dRVVT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antithrombin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, protein C or S activity levels in patients on direct oral anticoagulants</w:t>
            </w:r>
          </w:p>
        </w:tc>
      </w:tr>
      <w:tr w:rsidR="003716DE" w:rsidRPr="003716DE" w14:paraId="28595FE0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CB57515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Duplicate ordering of inherited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thrombophilias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: factor V Leiden,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prothrombin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20210 gene mutation, or JAK2 V167F mutation.</w:t>
            </w:r>
          </w:p>
        </w:tc>
      </w:tr>
      <w:tr w:rsidR="003716DE" w:rsidRPr="003716DE" w14:paraId="748635BD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7BFE58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Ordering of inherited thrombophilia workups (factor V Leiden,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prothrombin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20210 gene mutation, and protein C/S levels) in the </w:t>
            </w:r>
            <w:proofErr w:type="gram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inpatient setting</w:t>
            </w:r>
            <w:proofErr w:type="gram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, if fails to impact clinical management decisions.</w:t>
            </w:r>
          </w:p>
          <w:p w14:paraId="67D514A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716DE" w:rsidRPr="003716DE" w14:paraId="365C53CC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5BC8832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16D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  <w:t>Appropriate Ordering</w:t>
            </w:r>
          </w:p>
        </w:tc>
      </w:tr>
      <w:tr w:rsidR="003716DE" w:rsidRPr="003716DE" w14:paraId="3049E9B3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F0790C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Patients with unprovoked VTE in whom test results may impact duration or choice of anticoagulant (e.g. positive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antiphospholipid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antibody screening)</w:t>
            </w:r>
          </w:p>
        </w:tc>
      </w:tr>
      <w:tr w:rsidR="003716DE" w:rsidRPr="003716DE" w14:paraId="2EC4DC78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1E9755D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Patients with VTE and multiple family members with history of VTE </w:t>
            </w:r>
          </w:p>
        </w:tc>
      </w:tr>
      <w:tr w:rsidR="003716DE" w:rsidRPr="003716DE" w14:paraId="37DDDFAF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514AA662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Thrombosis at unusual sites (e.g. splanchnic thrombosis, Budd-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Chiari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, or cerebral venous thrombosis)</w:t>
            </w:r>
          </w:p>
        </w:tc>
      </w:tr>
      <w:tr w:rsidR="003716DE" w:rsidRPr="003716DE" w14:paraId="4FA1A192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55DB0D7F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Recurrent provoked VTE</w:t>
            </w:r>
          </w:p>
        </w:tc>
      </w:tr>
      <w:tr w:rsidR="003716DE" w:rsidRPr="003716DE" w14:paraId="15DC338B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6C02F1E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Screening for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antiphospholipid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antibody in the setting of recurrent pregnancy loss</w:t>
            </w:r>
          </w:p>
        </w:tc>
      </w:tr>
      <w:tr w:rsidR="003716DE" w:rsidRPr="003716DE" w14:paraId="3C287346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3BB22454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Unexplained arterial thrombosis</w:t>
            </w:r>
          </w:p>
        </w:tc>
      </w:tr>
      <w:tr w:rsidR="003716DE" w:rsidRPr="003716DE" w14:paraId="15687B39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76DB0637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Ordering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antiphospholipid</w:t>
            </w:r>
            <w:proofErr w:type="spellEnd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antibody testing in the setting of arterial thrombosis (e.g. peripheral arterial events, CVA)</w:t>
            </w:r>
          </w:p>
          <w:p w14:paraId="4B8A5840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716DE" w:rsidRPr="003716DE" w14:paraId="541E2479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644C09BB" w14:textId="16BCF420" w:rsidR="003716DE" w:rsidRPr="003716DE" w:rsidRDefault="009E2E9B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Equivocal </w:t>
            </w:r>
            <w:r w:rsidR="003716DE" w:rsidRPr="003716D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u w:val="single"/>
              </w:rPr>
              <w:t>Ordering</w:t>
            </w:r>
          </w:p>
        </w:tc>
      </w:tr>
      <w:tr w:rsidR="003716DE" w:rsidRPr="003716DE" w14:paraId="3745F2C6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236A121F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Female patients who develop VTE on hormonal therapy</w:t>
            </w:r>
          </w:p>
        </w:tc>
      </w:tr>
      <w:tr w:rsidR="003716DE" w:rsidRPr="003716DE" w14:paraId="5EF8A0DE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117F62A9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Upper extremity DVT</w:t>
            </w:r>
          </w:p>
        </w:tc>
      </w:tr>
      <w:tr w:rsidR="003716DE" w:rsidRPr="003716DE" w14:paraId="57307EF6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03405CB0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Testing ordered at the patient’s request</w:t>
            </w:r>
          </w:p>
        </w:tc>
      </w:tr>
      <w:tr w:rsidR="003716DE" w:rsidRPr="003716DE" w14:paraId="256974C3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7A8397F4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VTE with minor risk factor (e.g. travel-related or flight &lt; 6-8h, minor surgery, prolonged sitting, etc.)</w:t>
            </w:r>
          </w:p>
        </w:tc>
      </w:tr>
      <w:tr w:rsidR="003716DE" w:rsidRPr="003716DE" w14:paraId="7B21AA32" w14:textId="77777777" w:rsidTr="009E2E9B">
        <w:trPr>
          <w:trHeight w:val="300"/>
        </w:trPr>
        <w:tc>
          <w:tcPr>
            <w:tcW w:w="8670" w:type="dxa"/>
            <w:noWrap/>
            <w:hideMark/>
          </w:tcPr>
          <w:p w14:paraId="59B11FE6" w14:textId="77777777" w:rsidR="003716DE" w:rsidRPr="003716DE" w:rsidRDefault="003716DE" w:rsidP="009E2E9B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VTE in young patients with stroke and patent foramen </w:t>
            </w:r>
            <w:proofErr w:type="spellStart"/>
            <w:r w:rsidRPr="003716DE">
              <w:rPr>
                <w:rFonts w:asciiTheme="minorHAnsi" w:hAnsiTheme="minorHAnsi" w:cs="Arial"/>
                <w:color w:val="000000"/>
                <w:sz w:val="22"/>
                <w:szCs w:val="22"/>
              </w:rPr>
              <w:t>ovale</w:t>
            </w:r>
            <w:proofErr w:type="spellEnd"/>
          </w:p>
        </w:tc>
      </w:tr>
    </w:tbl>
    <w:p w14:paraId="558B32BA" w14:textId="77777777" w:rsidR="003716DE" w:rsidRPr="003716DE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4C51473" w14:textId="09C12D82" w:rsidR="003716DE" w:rsidRPr="009E2E9B" w:rsidRDefault="003716DE" w:rsidP="003716DE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4"/>
          <w:szCs w:val="24"/>
        </w:rPr>
      </w:pPr>
      <w:r w:rsidRPr="003716DE">
        <w:rPr>
          <w:rFonts w:asciiTheme="minorHAnsi" w:hAnsiTheme="minorHAnsi" w:cs="Arial"/>
          <w:b/>
          <w:color w:val="000000"/>
          <w:sz w:val="24"/>
          <w:szCs w:val="24"/>
        </w:rPr>
        <w:t>Table 4: Timing and Contextual Characteristics Used to Determine Appropriateness of Test Ordering</w:t>
      </w:r>
      <w:r w:rsidRPr="003716DE">
        <w:rPr>
          <w:rStyle w:val="FootnoteReference"/>
          <w:rFonts w:asciiTheme="minorHAnsi" w:hAnsiTheme="minorHAnsi" w:cs="Arial"/>
          <w:b/>
          <w:color w:val="000000"/>
          <w:sz w:val="24"/>
          <w:szCs w:val="24"/>
        </w:rPr>
        <w:footnoteReference w:id="3"/>
      </w:r>
    </w:p>
    <w:tbl>
      <w:tblPr>
        <w:tblStyle w:val="TableGrid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801"/>
        <w:gridCol w:w="978"/>
        <w:gridCol w:w="1281"/>
        <w:gridCol w:w="1034"/>
        <w:gridCol w:w="1396"/>
      </w:tblGrid>
      <w:tr w:rsidR="003716DE" w:rsidRPr="003716DE" w14:paraId="500470D3" w14:textId="77777777" w:rsidTr="00EA4658">
        <w:tc>
          <w:tcPr>
            <w:tcW w:w="1800" w:type="dxa"/>
          </w:tcPr>
          <w:p w14:paraId="57AE526C" w14:textId="77777777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Assay</w:t>
            </w:r>
          </w:p>
        </w:tc>
        <w:tc>
          <w:tcPr>
            <w:tcW w:w="1620" w:type="dxa"/>
          </w:tcPr>
          <w:p w14:paraId="559CE07C" w14:textId="77777777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Acute Thrombosis</w:t>
            </w:r>
          </w:p>
        </w:tc>
        <w:tc>
          <w:tcPr>
            <w:tcW w:w="801" w:type="dxa"/>
          </w:tcPr>
          <w:p w14:paraId="7E5CDA6C" w14:textId="77777777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UFH</w:t>
            </w:r>
          </w:p>
        </w:tc>
        <w:tc>
          <w:tcPr>
            <w:tcW w:w="978" w:type="dxa"/>
          </w:tcPr>
          <w:p w14:paraId="4B345838" w14:textId="77777777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LMWH</w:t>
            </w:r>
          </w:p>
        </w:tc>
        <w:tc>
          <w:tcPr>
            <w:tcW w:w="1281" w:type="dxa"/>
          </w:tcPr>
          <w:p w14:paraId="32294745" w14:textId="77777777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Warfarin</w:t>
            </w:r>
          </w:p>
        </w:tc>
        <w:tc>
          <w:tcPr>
            <w:tcW w:w="1034" w:type="dxa"/>
          </w:tcPr>
          <w:p w14:paraId="749FDD42" w14:textId="77777777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DOAC</w:t>
            </w:r>
          </w:p>
        </w:tc>
        <w:tc>
          <w:tcPr>
            <w:tcW w:w="1396" w:type="dxa"/>
          </w:tcPr>
          <w:p w14:paraId="33F819D9" w14:textId="434C8C92" w:rsidR="003716DE" w:rsidRPr="003716DE" w:rsidRDefault="003716DE" w:rsidP="009E2E9B">
            <w:pPr>
              <w:rPr>
                <w:rFonts w:cs="Arial"/>
                <w:b/>
                <w:u w:val="single"/>
              </w:rPr>
            </w:pPr>
            <w:r w:rsidRPr="003716DE">
              <w:rPr>
                <w:rFonts w:cs="Arial"/>
                <w:b/>
                <w:u w:val="single"/>
              </w:rPr>
              <w:t>Wit</w:t>
            </w:r>
            <w:r w:rsidR="00EA4658">
              <w:rPr>
                <w:rFonts w:cs="Arial"/>
                <w:b/>
                <w:u w:val="single"/>
              </w:rPr>
              <w:t>hin 2 weeks of stopping warfarin</w:t>
            </w:r>
          </w:p>
        </w:tc>
      </w:tr>
      <w:tr w:rsidR="003716DE" w:rsidRPr="003716DE" w14:paraId="6F72876D" w14:textId="77777777" w:rsidTr="00EA4658">
        <w:tc>
          <w:tcPr>
            <w:tcW w:w="1800" w:type="dxa"/>
          </w:tcPr>
          <w:p w14:paraId="55692412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Factor V Leiden</w:t>
            </w:r>
          </w:p>
        </w:tc>
        <w:tc>
          <w:tcPr>
            <w:tcW w:w="1620" w:type="dxa"/>
          </w:tcPr>
          <w:p w14:paraId="3D99A313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4A11F641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978" w:type="dxa"/>
          </w:tcPr>
          <w:p w14:paraId="2E20FA19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281" w:type="dxa"/>
          </w:tcPr>
          <w:p w14:paraId="42276CC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7D858E2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396" w:type="dxa"/>
          </w:tcPr>
          <w:p w14:paraId="07AC1371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1E0C884C" w14:textId="77777777" w:rsidTr="00EA4658">
        <w:tc>
          <w:tcPr>
            <w:tcW w:w="1800" w:type="dxa"/>
          </w:tcPr>
          <w:p w14:paraId="17C25557" w14:textId="77777777" w:rsidR="003716DE" w:rsidRPr="003716DE" w:rsidRDefault="003716DE" w:rsidP="009E2E9B">
            <w:pPr>
              <w:rPr>
                <w:rFonts w:cs="Arial"/>
              </w:rPr>
            </w:pPr>
            <w:proofErr w:type="spellStart"/>
            <w:r w:rsidRPr="003716DE">
              <w:rPr>
                <w:rFonts w:cs="Arial"/>
              </w:rPr>
              <w:t>Prothrombin</w:t>
            </w:r>
            <w:proofErr w:type="spellEnd"/>
            <w:r w:rsidRPr="003716DE">
              <w:rPr>
                <w:rFonts w:cs="Arial"/>
              </w:rPr>
              <w:t xml:space="preserve"> 20210 gene mutation</w:t>
            </w:r>
          </w:p>
        </w:tc>
        <w:tc>
          <w:tcPr>
            <w:tcW w:w="1620" w:type="dxa"/>
          </w:tcPr>
          <w:p w14:paraId="15509E16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50CD5D4D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978" w:type="dxa"/>
          </w:tcPr>
          <w:p w14:paraId="71812C5C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281" w:type="dxa"/>
          </w:tcPr>
          <w:p w14:paraId="038FBA04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3BDFD0D8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396" w:type="dxa"/>
          </w:tcPr>
          <w:p w14:paraId="145BBA73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24A8607B" w14:textId="77777777" w:rsidTr="00EA4658">
        <w:tc>
          <w:tcPr>
            <w:tcW w:w="1800" w:type="dxa"/>
          </w:tcPr>
          <w:p w14:paraId="61D5A020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Protein C Activity</w:t>
            </w:r>
          </w:p>
        </w:tc>
        <w:tc>
          <w:tcPr>
            <w:tcW w:w="1620" w:type="dxa"/>
          </w:tcPr>
          <w:p w14:paraId="5B6CE7A1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801" w:type="dxa"/>
          </w:tcPr>
          <w:p w14:paraId="7BFEFCED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978" w:type="dxa"/>
          </w:tcPr>
          <w:p w14:paraId="003A1074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281" w:type="dxa"/>
          </w:tcPr>
          <w:p w14:paraId="4E95EB76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034" w:type="dxa"/>
          </w:tcPr>
          <w:p w14:paraId="6876E5F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  <w:p w14:paraId="3461CDCA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27207EAC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</w:tr>
      <w:tr w:rsidR="003716DE" w:rsidRPr="003716DE" w14:paraId="42F2461F" w14:textId="77777777" w:rsidTr="00EA4658">
        <w:tc>
          <w:tcPr>
            <w:tcW w:w="1800" w:type="dxa"/>
          </w:tcPr>
          <w:p w14:paraId="6A8A19E9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Protein S Activity</w:t>
            </w:r>
          </w:p>
        </w:tc>
        <w:tc>
          <w:tcPr>
            <w:tcW w:w="1620" w:type="dxa"/>
          </w:tcPr>
          <w:p w14:paraId="4F10E792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801" w:type="dxa"/>
          </w:tcPr>
          <w:p w14:paraId="5690A368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978" w:type="dxa"/>
          </w:tcPr>
          <w:p w14:paraId="05D99EAF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281" w:type="dxa"/>
          </w:tcPr>
          <w:p w14:paraId="08A94125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034" w:type="dxa"/>
          </w:tcPr>
          <w:p w14:paraId="6034EA4D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  <w:p w14:paraId="690D7F36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45D62265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</w:tr>
      <w:tr w:rsidR="003716DE" w:rsidRPr="003716DE" w14:paraId="7DEFB93E" w14:textId="77777777" w:rsidTr="00EA4658">
        <w:tc>
          <w:tcPr>
            <w:tcW w:w="1800" w:type="dxa"/>
          </w:tcPr>
          <w:p w14:paraId="6378ED66" w14:textId="77777777" w:rsidR="003716DE" w:rsidRPr="003716DE" w:rsidRDefault="003716DE" w:rsidP="009E2E9B">
            <w:pPr>
              <w:rPr>
                <w:rFonts w:cs="Arial"/>
              </w:rPr>
            </w:pPr>
            <w:proofErr w:type="spellStart"/>
            <w:r w:rsidRPr="003716DE">
              <w:rPr>
                <w:rFonts w:cs="Arial"/>
              </w:rPr>
              <w:t>Antithrombin</w:t>
            </w:r>
            <w:proofErr w:type="spellEnd"/>
          </w:p>
        </w:tc>
        <w:tc>
          <w:tcPr>
            <w:tcW w:w="1620" w:type="dxa"/>
          </w:tcPr>
          <w:p w14:paraId="31384F9A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801" w:type="dxa"/>
          </w:tcPr>
          <w:p w14:paraId="58528FD9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978" w:type="dxa"/>
          </w:tcPr>
          <w:p w14:paraId="72656DE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281" w:type="dxa"/>
          </w:tcPr>
          <w:p w14:paraId="3836B467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034" w:type="dxa"/>
          </w:tcPr>
          <w:p w14:paraId="25B399C7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  <w:p w14:paraId="761F3045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258BC420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67B89653" w14:textId="77777777" w:rsidTr="00EA4658">
        <w:tc>
          <w:tcPr>
            <w:tcW w:w="1800" w:type="dxa"/>
          </w:tcPr>
          <w:p w14:paraId="70A27383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23364953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801" w:type="dxa"/>
          </w:tcPr>
          <w:p w14:paraId="74A7BBCF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978" w:type="dxa"/>
          </w:tcPr>
          <w:p w14:paraId="61DCD90D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281" w:type="dxa"/>
          </w:tcPr>
          <w:p w14:paraId="707FB471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6E3A4264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4C11F388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412167DD" w14:textId="77777777" w:rsidTr="00EA4658">
        <w:tc>
          <w:tcPr>
            <w:tcW w:w="1800" w:type="dxa"/>
          </w:tcPr>
          <w:p w14:paraId="2F6BD9E7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Lupus anticoagulant</w:t>
            </w:r>
          </w:p>
        </w:tc>
        <w:tc>
          <w:tcPr>
            <w:tcW w:w="1620" w:type="dxa"/>
          </w:tcPr>
          <w:p w14:paraId="57932E09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4459F52C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978" w:type="dxa"/>
          </w:tcPr>
          <w:p w14:paraId="4A1F7406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281" w:type="dxa"/>
          </w:tcPr>
          <w:p w14:paraId="33B2D842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6F1F19CA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</w:tc>
        <w:tc>
          <w:tcPr>
            <w:tcW w:w="1396" w:type="dxa"/>
          </w:tcPr>
          <w:p w14:paraId="172D54F8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723EC0E6" w14:textId="77777777" w:rsidTr="00EA4658">
        <w:tc>
          <w:tcPr>
            <w:tcW w:w="1800" w:type="dxa"/>
          </w:tcPr>
          <w:p w14:paraId="399A64D9" w14:textId="77777777" w:rsidR="003716DE" w:rsidRPr="003716DE" w:rsidRDefault="003716DE" w:rsidP="009E2E9B">
            <w:pPr>
              <w:rPr>
                <w:rFonts w:cs="Arial"/>
              </w:rPr>
            </w:pPr>
            <w:proofErr w:type="spellStart"/>
            <w:proofErr w:type="gramStart"/>
            <w:r w:rsidRPr="003716DE">
              <w:rPr>
                <w:rFonts w:cs="Arial"/>
              </w:rPr>
              <w:t>dRVVT</w:t>
            </w:r>
            <w:proofErr w:type="spellEnd"/>
            <w:proofErr w:type="gramEnd"/>
          </w:p>
        </w:tc>
        <w:tc>
          <w:tcPr>
            <w:tcW w:w="1620" w:type="dxa"/>
          </w:tcPr>
          <w:p w14:paraId="731BB152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086E847D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978" w:type="dxa"/>
          </w:tcPr>
          <w:p w14:paraId="12DD5FE4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281" w:type="dxa"/>
          </w:tcPr>
          <w:p w14:paraId="51B4754F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13053C7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X</w:t>
            </w:r>
          </w:p>
          <w:p w14:paraId="4AEDF9EC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2699B844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4631462A" w14:textId="77777777" w:rsidTr="00EA4658">
        <w:tc>
          <w:tcPr>
            <w:tcW w:w="1800" w:type="dxa"/>
          </w:tcPr>
          <w:p w14:paraId="6C7B1A3C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 xml:space="preserve">Beta-2 glycoprotein 1 </w:t>
            </w:r>
            <w:proofErr w:type="spellStart"/>
            <w:r w:rsidRPr="003716DE">
              <w:rPr>
                <w:rFonts w:cs="Arial"/>
              </w:rPr>
              <w:t>IgM</w:t>
            </w:r>
            <w:proofErr w:type="spellEnd"/>
            <w:r w:rsidRPr="003716DE">
              <w:rPr>
                <w:rFonts w:cs="Arial"/>
              </w:rPr>
              <w:t>/</w:t>
            </w:r>
            <w:proofErr w:type="spellStart"/>
            <w:r w:rsidRPr="003716DE">
              <w:rPr>
                <w:rFonts w:cs="Arial"/>
              </w:rPr>
              <w:t>IgG</w:t>
            </w:r>
            <w:proofErr w:type="spellEnd"/>
          </w:p>
          <w:p w14:paraId="49AA522D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261F7538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1FE0BC43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978" w:type="dxa"/>
          </w:tcPr>
          <w:p w14:paraId="0BA324C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281" w:type="dxa"/>
          </w:tcPr>
          <w:p w14:paraId="0CC73A0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520A779C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396" w:type="dxa"/>
          </w:tcPr>
          <w:p w14:paraId="769B7DAD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39DEB12B" w14:textId="77777777" w:rsidTr="00EA4658">
        <w:tc>
          <w:tcPr>
            <w:tcW w:w="1800" w:type="dxa"/>
          </w:tcPr>
          <w:p w14:paraId="6B5D9DE2" w14:textId="77777777" w:rsidR="003716DE" w:rsidRPr="003716DE" w:rsidRDefault="003716DE" w:rsidP="009E2E9B">
            <w:pPr>
              <w:rPr>
                <w:rFonts w:cs="Arial"/>
              </w:rPr>
            </w:pPr>
            <w:proofErr w:type="spellStart"/>
            <w:r w:rsidRPr="003716DE">
              <w:rPr>
                <w:rFonts w:cs="Arial"/>
              </w:rPr>
              <w:t>Anticardiolipin</w:t>
            </w:r>
            <w:proofErr w:type="spellEnd"/>
            <w:r w:rsidRPr="003716DE">
              <w:rPr>
                <w:rFonts w:cs="Arial"/>
              </w:rPr>
              <w:t xml:space="preserve"> </w:t>
            </w:r>
            <w:proofErr w:type="spellStart"/>
            <w:r w:rsidRPr="003716DE">
              <w:rPr>
                <w:rFonts w:cs="Arial"/>
              </w:rPr>
              <w:t>IgM</w:t>
            </w:r>
            <w:proofErr w:type="spellEnd"/>
            <w:r w:rsidRPr="003716DE">
              <w:rPr>
                <w:rFonts w:cs="Arial"/>
              </w:rPr>
              <w:t>/</w:t>
            </w:r>
            <w:proofErr w:type="spellStart"/>
            <w:r w:rsidRPr="003716DE">
              <w:rPr>
                <w:rFonts w:cs="Arial"/>
              </w:rPr>
              <w:t>IgG</w:t>
            </w:r>
            <w:proofErr w:type="spellEnd"/>
          </w:p>
        </w:tc>
        <w:tc>
          <w:tcPr>
            <w:tcW w:w="1620" w:type="dxa"/>
          </w:tcPr>
          <w:p w14:paraId="017EE523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7C2910E8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978" w:type="dxa"/>
          </w:tcPr>
          <w:p w14:paraId="4E7A8007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281" w:type="dxa"/>
          </w:tcPr>
          <w:p w14:paraId="4C8E7990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10DA6E2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  <w:p w14:paraId="26C12DD5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5C07FF6C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  <w:tr w:rsidR="003716DE" w:rsidRPr="003716DE" w14:paraId="48C03C0B" w14:textId="77777777" w:rsidTr="00EA4658">
        <w:tc>
          <w:tcPr>
            <w:tcW w:w="1800" w:type="dxa"/>
          </w:tcPr>
          <w:p w14:paraId="2F3F9DC8" w14:textId="77777777" w:rsidR="003716DE" w:rsidRPr="003716DE" w:rsidRDefault="003716DE" w:rsidP="009E2E9B">
            <w:pPr>
              <w:rPr>
                <w:rFonts w:cs="Arial"/>
              </w:rPr>
            </w:pPr>
            <w:proofErr w:type="gramStart"/>
            <w:r w:rsidRPr="003716DE">
              <w:rPr>
                <w:rFonts w:cs="Arial"/>
              </w:rPr>
              <w:t>JAK2  V167F</w:t>
            </w:r>
            <w:proofErr w:type="gramEnd"/>
            <w:r w:rsidRPr="003716DE">
              <w:rPr>
                <w:rFonts w:cs="Arial"/>
              </w:rPr>
              <w:t xml:space="preserve"> mutation</w:t>
            </w:r>
          </w:p>
        </w:tc>
        <w:tc>
          <w:tcPr>
            <w:tcW w:w="1620" w:type="dxa"/>
          </w:tcPr>
          <w:p w14:paraId="3694CF5C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801" w:type="dxa"/>
          </w:tcPr>
          <w:p w14:paraId="05E3BDC3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978" w:type="dxa"/>
          </w:tcPr>
          <w:p w14:paraId="0CF3A44E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281" w:type="dxa"/>
          </w:tcPr>
          <w:p w14:paraId="79F2FC3B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</w:tc>
        <w:tc>
          <w:tcPr>
            <w:tcW w:w="1034" w:type="dxa"/>
          </w:tcPr>
          <w:p w14:paraId="79C3509A" w14:textId="77777777" w:rsidR="003716DE" w:rsidRPr="003716DE" w:rsidRDefault="003716DE" w:rsidP="009E2E9B">
            <w:pPr>
              <w:rPr>
                <w:rFonts w:cs="Arial"/>
              </w:rPr>
            </w:pPr>
            <w:r w:rsidRPr="003716DE">
              <w:rPr>
                <w:rFonts w:cs="Arial"/>
              </w:rPr>
              <w:t>√</w:t>
            </w:r>
          </w:p>
          <w:p w14:paraId="54F816CF" w14:textId="77777777" w:rsidR="003716DE" w:rsidRPr="003716DE" w:rsidRDefault="003716DE" w:rsidP="009E2E9B">
            <w:pPr>
              <w:rPr>
                <w:rFonts w:cs="Arial"/>
              </w:rPr>
            </w:pPr>
          </w:p>
        </w:tc>
        <w:tc>
          <w:tcPr>
            <w:tcW w:w="1396" w:type="dxa"/>
          </w:tcPr>
          <w:p w14:paraId="4C8FEE92" w14:textId="77777777" w:rsidR="003716DE" w:rsidRPr="003716DE" w:rsidRDefault="003716DE" w:rsidP="009E2E9B">
            <w:pPr>
              <w:rPr>
                <w:rFonts w:cs="Arial"/>
              </w:rPr>
            </w:pPr>
          </w:p>
        </w:tc>
      </w:tr>
    </w:tbl>
    <w:p w14:paraId="439D1CDA" w14:textId="77777777" w:rsidR="00371CB6" w:rsidRPr="003716DE" w:rsidRDefault="00371CB6"/>
    <w:sectPr w:rsidR="00371CB6" w:rsidRPr="003716DE" w:rsidSect="009E2E9B">
      <w:footnotePr>
        <w:numFmt w:val="lowerLetter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299B4" w14:textId="77777777" w:rsidR="009E2E9B" w:rsidRDefault="009E2E9B" w:rsidP="0045699A">
      <w:r>
        <w:separator/>
      </w:r>
    </w:p>
  </w:endnote>
  <w:endnote w:type="continuationSeparator" w:id="0">
    <w:p w14:paraId="1F98FDFC" w14:textId="77777777" w:rsidR="009E2E9B" w:rsidRDefault="009E2E9B" w:rsidP="0045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89F7F" w14:textId="77777777" w:rsidR="009E2E9B" w:rsidRDefault="009E2E9B" w:rsidP="0045699A">
      <w:r>
        <w:separator/>
      </w:r>
    </w:p>
  </w:footnote>
  <w:footnote w:type="continuationSeparator" w:id="0">
    <w:p w14:paraId="0E156787" w14:textId="77777777" w:rsidR="009E2E9B" w:rsidRDefault="009E2E9B" w:rsidP="0045699A">
      <w:r>
        <w:continuationSeparator/>
      </w:r>
    </w:p>
  </w:footnote>
  <w:footnote w:id="1">
    <w:p w14:paraId="4247753C" w14:textId="3FD3CF3E" w:rsidR="009E2E9B" w:rsidRDefault="009E2E9B" w:rsidP="003716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3B00">
        <w:rPr>
          <w:b/>
        </w:rPr>
        <w:t xml:space="preserve">CMS, Center Medicare and Medicaid Services; </w:t>
      </w:r>
      <w:proofErr w:type="spellStart"/>
      <w:r w:rsidRPr="001E3B00">
        <w:rPr>
          <w:b/>
        </w:rPr>
        <w:t>dRRVT</w:t>
      </w:r>
      <w:proofErr w:type="spellEnd"/>
      <w:r w:rsidRPr="001E3B00">
        <w:rPr>
          <w:b/>
        </w:rPr>
        <w:t xml:space="preserve">, dilute Russell viper venom time; </w:t>
      </w:r>
      <w:r w:rsidR="0027357C" w:rsidRPr="001E3B00">
        <w:rPr>
          <w:b/>
        </w:rPr>
        <w:t>USD, United</w:t>
      </w:r>
      <w:r w:rsidRPr="001E3B00">
        <w:rPr>
          <w:b/>
        </w:rPr>
        <w:t xml:space="preserve"> </w:t>
      </w:r>
      <w:bookmarkStart w:id="0" w:name="_GoBack"/>
      <w:bookmarkEnd w:id="0"/>
      <w:r w:rsidRPr="001E3B00">
        <w:rPr>
          <w:b/>
        </w:rPr>
        <w:t>States Dollars.</w:t>
      </w:r>
    </w:p>
  </w:footnote>
  <w:footnote w:id="2">
    <w:p w14:paraId="4A694468" w14:textId="733C1B24" w:rsidR="009E2E9B" w:rsidRDefault="009E2E9B" w:rsidP="003716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3B00">
        <w:rPr>
          <w:b/>
        </w:rPr>
        <w:t xml:space="preserve">DVT, deep venous thrombosis; VTE, venous thromboembolism; PE, pulmonary embolism; CVA, cerebrovascular accident; PVD, peripheral vascular disease; </w:t>
      </w:r>
      <w:proofErr w:type="spellStart"/>
      <w:r w:rsidRPr="001E3B00">
        <w:rPr>
          <w:b/>
        </w:rPr>
        <w:t>dRVVT</w:t>
      </w:r>
      <w:proofErr w:type="spellEnd"/>
      <w:r w:rsidRPr="001E3B00">
        <w:rPr>
          <w:b/>
        </w:rPr>
        <w:t>, dilute Russe</w:t>
      </w:r>
      <w:r>
        <w:rPr>
          <w:b/>
        </w:rPr>
        <w:t>l</w:t>
      </w:r>
      <w:r w:rsidRPr="001E3B00">
        <w:rPr>
          <w:b/>
        </w:rPr>
        <w:t>l viper venom time; USD, United States Dollars.</w:t>
      </w:r>
    </w:p>
  </w:footnote>
  <w:footnote w:id="3">
    <w:p w14:paraId="437219CE" w14:textId="77777777" w:rsidR="009E2E9B" w:rsidRPr="003716DE" w:rsidRDefault="009E2E9B" w:rsidP="003716DE">
      <w:pPr>
        <w:pStyle w:val="FootnoteText"/>
      </w:pPr>
      <w:r w:rsidRPr="003716DE">
        <w:rPr>
          <w:rStyle w:val="FootnoteReference"/>
        </w:rPr>
        <w:footnoteRef/>
      </w:r>
      <w:r w:rsidRPr="003716DE">
        <w:t xml:space="preserve"> </w:t>
      </w:r>
      <w:proofErr w:type="spellStart"/>
      <w:proofErr w:type="gramStart"/>
      <w:r w:rsidRPr="003716DE">
        <w:rPr>
          <w:rFonts w:cs="Arial"/>
          <w:b/>
          <w:color w:val="000000"/>
        </w:rPr>
        <w:t>dRVVT</w:t>
      </w:r>
      <w:proofErr w:type="spellEnd"/>
      <w:proofErr w:type="gramEnd"/>
      <w:r w:rsidRPr="003716DE">
        <w:rPr>
          <w:rFonts w:cs="Arial"/>
          <w:b/>
          <w:color w:val="000000"/>
        </w:rPr>
        <w:t>, dilute Russell viper venom time; UFH, unfractionated heparin; LMWH, low-molecular weight heparin; DOAC, direct oral anticoagulant.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9A"/>
    <w:rsid w:val="000E5342"/>
    <w:rsid w:val="0027357C"/>
    <w:rsid w:val="003716DE"/>
    <w:rsid w:val="00371CB6"/>
    <w:rsid w:val="0045699A"/>
    <w:rsid w:val="004825A7"/>
    <w:rsid w:val="005D64BD"/>
    <w:rsid w:val="009E2E9B"/>
    <w:rsid w:val="00C5052C"/>
    <w:rsid w:val="00E02FFA"/>
    <w:rsid w:val="00EA4658"/>
    <w:rsid w:val="00E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0FA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9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5699A"/>
  </w:style>
  <w:style w:type="character" w:customStyle="1" w:styleId="FootnoteTextChar">
    <w:name w:val="Footnote Text Char"/>
    <w:basedOn w:val="DefaultParagraphFont"/>
    <w:link w:val="FootnoteText"/>
    <w:uiPriority w:val="99"/>
    <w:rsid w:val="0045699A"/>
  </w:style>
  <w:style w:type="character" w:styleId="FootnoteReference">
    <w:name w:val="footnote reference"/>
    <w:basedOn w:val="DefaultParagraphFont"/>
    <w:uiPriority w:val="99"/>
    <w:unhideWhenUsed/>
    <w:rsid w:val="0045699A"/>
    <w:rPr>
      <w:vertAlign w:val="superscript"/>
    </w:rPr>
  </w:style>
  <w:style w:type="table" w:styleId="TableGrid">
    <w:name w:val="Table Grid"/>
    <w:basedOn w:val="TableNormal"/>
    <w:uiPriority w:val="59"/>
    <w:rsid w:val="0045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9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5699A"/>
  </w:style>
  <w:style w:type="character" w:customStyle="1" w:styleId="FootnoteTextChar">
    <w:name w:val="Footnote Text Char"/>
    <w:basedOn w:val="DefaultParagraphFont"/>
    <w:link w:val="FootnoteText"/>
    <w:uiPriority w:val="99"/>
    <w:rsid w:val="0045699A"/>
  </w:style>
  <w:style w:type="character" w:styleId="FootnoteReference">
    <w:name w:val="footnote reference"/>
    <w:basedOn w:val="DefaultParagraphFont"/>
    <w:uiPriority w:val="99"/>
    <w:unhideWhenUsed/>
    <w:rsid w:val="0045699A"/>
    <w:rPr>
      <w:vertAlign w:val="superscript"/>
    </w:rPr>
  </w:style>
  <w:style w:type="table" w:styleId="TableGrid">
    <w:name w:val="Table Grid"/>
    <w:basedOn w:val="TableNormal"/>
    <w:uiPriority w:val="59"/>
    <w:rsid w:val="0045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3670</Characters>
  <Application>Microsoft Macintosh Word</Application>
  <DocSecurity>0</DocSecurity>
  <Lines>79</Lines>
  <Paragraphs>20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Mou</dc:creator>
  <cp:keywords/>
  <dc:description/>
  <cp:lastModifiedBy>Eric Mou</cp:lastModifiedBy>
  <cp:revision>10</cp:revision>
  <dcterms:created xsi:type="dcterms:W3CDTF">2016-12-19T21:22:00Z</dcterms:created>
  <dcterms:modified xsi:type="dcterms:W3CDTF">2017-04-21T07:03:00Z</dcterms:modified>
</cp:coreProperties>
</file>