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04" w:rsidRDefault="00554504" w:rsidP="00554504">
      <w:pPr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9058" w:type="dxa"/>
        <w:jc w:val="center"/>
        <w:tblInd w:w="-211" w:type="dxa"/>
        <w:tblLook w:val="04A0" w:firstRow="1" w:lastRow="0" w:firstColumn="1" w:lastColumn="0" w:noHBand="0" w:noVBand="1"/>
      </w:tblPr>
      <w:tblGrid>
        <w:gridCol w:w="3199"/>
        <w:gridCol w:w="3150"/>
        <w:gridCol w:w="810"/>
        <w:gridCol w:w="1899"/>
      </w:tblGrid>
      <w:tr w:rsidR="00554504" w:rsidRPr="00D24B7E" w:rsidTr="0095646B">
        <w:trPr>
          <w:jc w:val="center"/>
        </w:trPr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554504" w:rsidRPr="00D24B7E" w:rsidRDefault="00554504" w:rsidP="009564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suppTableA"/>
            <w:r>
              <w:rPr>
                <w:rFonts w:ascii="Times New Roman" w:hAnsi="Times New Roman" w:cs="Times New Roman"/>
                <w:b/>
                <w:sz w:val="28"/>
              </w:rPr>
              <w:t>Supplementary Table A</w:t>
            </w:r>
            <w:r w:rsidRPr="00D24B7E">
              <w:rPr>
                <w:rFonts w:ascii="Times New Roman" w:hAnsi="Times New Roman" w:cs="Times New Roman"/>
                <w:b/>
                <w:sz w:val="28"/>
              </w:rPr>
              <w:t>: Characteristics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of Patients (</w:t>
            </w:r>
            <w:r w:rsidRPr="00E0359F">
              <w:rPr>
                <w:rFonts w:ascii="Times New Roman" w:hAnsi="Times New Roman" w:cs="Times New Roman"/>
                <w:b/>
                <w:i/>
                <w:sz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= 47) Otherwise Ineligible for Outpatient Care</w:t>
            </w:r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 xml:space="preserve"> *</w:t>
            </w:r>
          </w:p>
        </w:tc>
      </w:tr>
      <w:tr w:rsidR="00554504" w:rsidRPr="006C444F" w:rsidTr="0095646B">
        <w:trPr>
          <w:jc w:val="center"/>
        </w:trPr>
        <w:tc>
          <w:tcPr>
            <w:tcW w:w="63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54504" w:rsidRPr="00D81768" w:rsidRDefault="00554504" w:rsidP="0095646B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Visit characteristics (</w:t>
            </w:r>
            <w:r>
              <w:rPr>
                <w:rFonts w:ascii="Times New Roman" w:hAnsi="Times New Roman" w:cs="Times New Roman"/>
                <w:b/>
                <w:i/>
                <w:sz w:val="22"/>
              </w:rPr>
              <w:t>n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= 65)</w:t>
            </w: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54504" w:rsidRDefault="00554504" w:rsidP="0095646B">
            <w:pPr>
              <w:jc w:val="right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2"/>
              </w:rPr>
              <w:t>n</w:t>
            </w:r>
            <w:proofErr w:type="gramEnd"/>
          </w:p>
        </w:tc>
        <w:tc>
          <w:tcPr>
            <w:tcW w:w="189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554504" w:rsidRPr="006C444F" w:rsidRDefault="00554504" w:rsidP="0095646B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6C444F">
              <w:rPr>
                <w:rFonts w:ascii="Times New Roman" w:hAnsi="Times New Roman" w:cs="Times New Roman"/>
                <w:b/>
                <w:sz w:val="22"/>
              </w:rPr>
              <w:t>(%)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 w:val="restart"/>
            <w:vAlign w:val="center"/>
          </w:tcPr>
          <w:p w:rsidR="00554504" w:rsidRPr="00EE560F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Patient age</w:t>
            </w:r>
          </w:p>
        </w:tc>
        <w:tc>
          <w:tcPr>
            <w:tcW w:w="3150" w:type="dxa"/>
            <w:tcBorders>
              <w:bottom w:val="nil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39</w:t>
            </w:r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9" w:type="dxa"/>
            <w:tcBorders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/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– 64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/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B414D5"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 w:val="restart"/>
            <w:vAlign w:val="center"/>
          </w:tcPr>
          <w:p w:rsidR="00554504" w:rsidRPr="00EE560F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Patient gender</w:t>
            </w:r>
          </w:p>
        </w:tc>
        <w:tc>
          <w:tcPr>
            <w:tcW w:w="3150" w:type="dxa"/>
            <w:tcBorders>
              <w:bottom w:val="nil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9" w:type="dxa"/>
            <w:tcBorders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6%)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4%)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 w:val="restart"/>
            <w:vAlign w:val="center"/>
          </w:tcPr>
          <w:p w:rsidR="00554504" w:rsidRPr="00EE560F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Patient race</w:t>
            </w:r>
          </w:p>
        </w:tc>
        <w:tc>
          <w:tcPr>
            <w:tcW w:w="3150" w:type="dxa"/>
            <w:tcBorders>
              <w:bottom w:val="nil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9" w:type="dxa"/>
            <w:tcBorders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/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 w:val="restart"/>
            <w:vAlign w:val="center"/>
          </w:tcPr>
          <w:p w:rsidR="00554504" w:rsidRPr="00EE560F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Exact insurance type</w:t>
            </w:r>
          </w:p>
        </w:tc>
        <w:tc>
          <w:tcPr>
            <w:tcW w:w="3150" w:type="dxa"/>
            <w:tcBorders>
              <w:bottom w:val="nil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Self-pay</w:t>
            </w:r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99" w:type="dxa"/>
            <w:tcBorders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74"/>
          <w:jc w:val="center"/>
        </w:trPr>
        <w:tc>
          <w:tcPr>
            <w:tcW w:w="3199" w:type="dxa"/>
            <w:vMerge/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fault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73"/>
          <w:jc w:val="center"/>
        </w:trPr>
        <w:tc>
          <w:tcPr>
            <w:tcW w:w="3199" w:type="dxa"/>
            <w:vMerge/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Worker’s compensation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 w:val="restart"/>
            <w:vAlign w:val="center"/>
          </w:tcPr>
          <w:p w:rsidR="00554504" w:rsidRPr="00EE560F" w:rsidRDefault="00554504" w:rsidP="0095646B">
            <w:pPr>
              <w:tabs>
                <w:tab w:val="left" w:pos="1452"/>
              </w:tabs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Driving distance</w:t>
            </w:r>
          </w:p>
        </w:tc>
        <w:tc>
          <w:tcPr>
            <w:tcW w:w="3150" w:type="dxa"/>
            <w:tcBorders>
              <w:bottom w:val="nil"/>
            </w:tcBorders>
          </w:tcPr>
          <w:p w:rsidR="00554504" w:rsidRPr="005A2A09" w:rsidRDefault="00554504" w:rsidP="0095646B">
            <w:pPr>
              <w:tabs>
                <w:tab w:val="left" w:pos="14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4.3 mi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/>
          </w:tcPr>
          <w:p w:rsidR="00554504" w:rsidRPr="005A2A09" w:rsidRDefault="00554504" w:rsidP="0095646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 – 17.0 mi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/>
          </w:tcPr>
          <w:p w:rsidR="00554504" w:rsidRPr="005A2A09" w:rsidRDefault="00554504" w:rsidP="0095646B">
            <w:pPr>
              <w:ind w:left="3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 – 38.8 mi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/>
          </w:tcPr>
          <w:p w:rsidR="00554504" w:rsidRPr="005A2A09" w:rsidRDefault="00554504" w:rsidP="0095646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38.8 – 2891 mi</w:t>
            </w: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 w:val="restart"/>
            <w:vAlign w:val="center"/>
          </w:tcPr>
          <w:p w:rsidR="00554504" w:rsidRPr="00EE560F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Length of stay</w:t>
            </w:r>
          </w:p>
        </w:tc>
        <w:tc>
          <w:tcPr>
            <w:tcW w:w="3150" w:type="dxa"/>
            <w:tcBorders>
              <w:bottom w:val="nil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99" w:type="dxa"/>
            <w:tcBorders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/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7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/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14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153"/>
          <w:jc w:val="center"/>
        </w:trPr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554504" w:rsidRPr="005A2A09" w:rsidRDefault="00554504" w:rsidP="0095646B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741F"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gramEnd"/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44"/>
          <w:jc w:val="center"/>
        </w:trPr>
        <w:tc>
          <w:tcPr>
            <w:tcW w:w="3199" w:type="dxa"/>
            <w:vMerge w:val="restart"/>
            <w:vAlign w:val="center"/>
          </w:tcPr>
          <w:p w:rsidR="00554504" w:rsidRPr="00EE560F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#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PDFV</w:t>
            </w:r>
            <w:r w:rsidRPr="002B2CCD">
              <w:rPr>
                <w:rFonts w:ascii="Times New Roman" w:hAnsi="Times New Roman" w:cs="Times New Roman"/>
                <w:b/>
                <w:sz w:val="20"/>
                <w:szCs w:val="20"/>
              </w:rPr>
              <w:t>s per discharge</w:t>
            </w:r>
          </w:p>
        </w:tc>
        <w:tc>
          <w:tcPr>
            <w:tcW w:w="3150" w:type="dxa"/>
            <w:tcBorders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PDFV</w:t>
            </w:r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99" w:type="dxa"/>
            <w:tcBorders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40"/>
          <w:jc w:val="center"/>
        </w:trPr>
        <w:tc>
          <w:tcPr>
            <w:tcW w:w="3199" w:type="dxa"/>
            <w:vMerge/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PDFV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40"/>
          <w:jc w:val="center"/>
        </w:trPr>
        <w:tc>
          <w:tcPr>
            <w:tcW w:w="3199" w:type="dxa"/>
            <w:vMerge/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PDFVs</w:t>
            </w: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 w:val="restart"/>
            <w:vAlign w:val="center"/>
          </w:tcPr>
          <w:p w:rsidR="00554504" w:rsidRPr="00EE560F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PDFV</w:t>
            </w:r>
            <w:r w:rsidRPr="00EE5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3150" w:type="dxa"/>
            <w:tcBorders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Oncologic subspecialty</w:t>
            </w:r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9" w:type="dxa"/>
            <w:tcBorders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102"/>
          <w:jc w:val="center"/>
        </w:trPr>
        <w:tc>
          <w:tcPr>
            <w:tcW w:w="3199" w:type="dxa"/>
            <w:vMerge/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Medical subspecialty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107"/>
          <w:jc w:val="center"/>
        </w:trPr>
        <w:tc>
          <w:tcPr>
            <w:tcW w:w="3199" w:type="dxa"/>
            <w:vMerge/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Surgical subspecialty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106"/>
          <w:jc w:val="center"/>
        </w:trPr>
        <w:tc>
          <w:tcPr>
            <w:tcW w:w="3199" w:type="dxa"/>
            <w:vMerge/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Primary care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:rsidR="00554504" w:rsidRPr="00EE560F" w:rsidRDefault="00554504" w:rsidP="0095646B">
            <w:pPr>
              <w:ind w:left="7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jc w:val="center"/>
        </w:trPr>
        <w:tc>
          <w:tcPr>
            <w:tcW w:w="3199" w:type="dxa"/>
            <w:vMerge w:val="restart"/>
            <w:vAlign w:val="center"/>
          </w:tcPr>
          <w:p w:rsidR="00554504" w:rsidRPr="00EE560F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PDFV season</w:t>
            </w:r>
          </w:p>
        </w:tc>
        <w:tc>
          <w:tcPr>
            <w:tcW w:w="3150" w:type="dxa"/>
            <w:tcBorders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9" w:type="dxa"/>
            <w:tcBorders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29"/>
          <w:jc w:val="center"/>
        </w:trPr>
        <w:tc>
          <w:tcPr>
            <w:tcW w:w="3199" w:type="dxa"/>
            <w:vMerge/>
            <w:vAlign w:val="center"/>
          </w:tcPr>
          <w:p w:rsidR="00554504" w:rsidRPr="00EE560F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Summer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25"/>
          <w:jc w:val="center"/>
        </w:trPr>
        <w:tc>
          <w:tcPr>
            <w:tcW w:w="3199" w:type="dxa"/>
            <w:vMerge/>
            <w:vAlign w:val="center"/>
          </w:tcPr>
          <w:p w:rsidR="00554504" w:rsidRPr="00EE560F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Autumn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25"/>
          <w:jc w:val="center"/>
        </w:trPr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:rsidR="00554504" w:rsidRPr="00EE560F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Winter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25"/>
          <w:jc w:val="center"/>
        </w:trPr>
        <w:tc>
          <w:tcPr>
            <w:tcW w:w="3199" w:type="dxa"/>
            <w:vMerge w:val="restart"/>
            <w:vAlign w:val="center"/>
          </w:tcPr>
          <w:p w:rsidR="00554504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PDFV</w:t>
            </w:r>
            <w:r w:rsidRPr="00EE5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lead time</w:t>
            </w:r>
          </w:p>
          <w:p w:rsidR="00554504" w:rsidRPr="00E0359F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days between discharge and appointment)</w:t>
            </w:r>
          </w:p>
        </w:tc>
        <w:tc>
          <w:tcPr>
            <w:tcW w:w="3150" w:type="dxa"/>
            <w:tcBorders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10" w:type="dxa"/>
            <w:tcBorders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9" w:type="dxa"/>
            <w:tcBorders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25"/>
          <w:jc w:val="center"/>
        </w:trPr>
        <w:tc>
          <w:tcPr>
            <w:tcW w:w="3199" w:type="dxa"/>
            <w:vMerge/>
          </w:tcPr>
          <w:p w:rsidR="00554504" w:rsidRPr="005A2A09" w:rsidRDefault="00554504" w:rsidP="0095646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25"/>
          <w:jc w:val="center"/>
        </w:trPr>
        <w:tc>
          <w:tcPr>
            <w:tcW w:w="3199" w:type="dxa"/>
            <w:vMerge/>
          </w:tcPr>
          <w:p w:rsidR="00554504" w:rsidRPr="005A2A09" w:rsidRDefault="00554504" w:rsidP="0095646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39"/>
          <w:jc w:val="center"/>
        </w:trPr>
        <w:tc>
          <w:tcPr>
            <w:tcW w:w="3199" w:type="dxa"/>
            <w:vMerge/>
          </w:tcPr>
          <w:p w:rsidR="00554504" w:rsidRPr="005A2A09" w:rsidRDefault="00554504" w:rsidP="0095646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41F">
              <w:rPr>
                <w:rFonts w:ascii="Times New Roman" w:hAnsi="Times New Roman" w:cs="Times New Roman"/>
                <w:sz w:val="20"/>
                <w:szCs w:val="20"/>
              </w:rPr>
              <w:t xml:space="preserve">≥ 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</w:tcPr>
          <w:p w:rsidR="00554504" w:rsidRPr="005A2A09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A2A09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554504" w:rsidRPr="005A2A09" w:rsidTr="0095646B">
        <w:trPr>
          <w:trHeight w:val="36"/>
          <w:jc w:val="center"/>
        </w:trPr>
        <w:tc>
          <w:tcPr>
            <w:tcW w:w="3199" w:type="dxa"/>
            <w:vMerge w:val="restart"/>
            <w:vAlign w:val="center"/>
          </w:tcPr>
          <w:p w:rsidR="00554504" w:rsidRPr="00432074" w:rsidRDefault="00554504" w:rsidP="0095646B">
            <w:pPr>
              <w:ind w:left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PDFV</w:t>
            </w:r>
            <w:r w:rsidRPr="004320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outcomes</w:t>
            </w: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Attended as scheduled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  <w:right w:val="nil"/>
            </w:tcBorders>
          </w:tcPr>
          <w:p w:rsidR="00554504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(35%)</w:t>
            </w:r>
          </w:p>
        </w:tc>
      </w:tr>
      <w:tr w:rsidR="00554504" w:rsidRPr="005A2A09" w:rsidTr="0095646B">
        <w:trPr>
          <w:trHeight w:val="36"/>
          <w:jc w:val="center"/>
        </w:trPr>
        <w:tc>
          <w:tcPr>
            <w:tcW w:w="3199" w:type="dxa"/>
            <w:vMerge/>
          </w:tcPr>
          <w:p w:rsidR="00554504" w:rsidRPr="005A2A09" w:rsidRDefault="00554504" w:rsidP="0095646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Cancelled before appointment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554504" w:rsidRDefault="00554504" w:rsidP="009564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 w:rsidR="00554504" w:rsidRPr="005A2A09" w:rsidRDefault="00554504" w:rsidP="00956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(14%)</w:t>
            </w:r>
          </w:p>
        </w:tc>
      </w:tr>
      <w:tr w:rsidR="00554504" w:rsidRPr="006938E2" w:rsidTr="0095646B">
        <w:trPr>
          <w:trHeight w:val="36"/>
          <w:jc w:val="center"/>
        </w:trPr>
        <w:tc>
          <w:tcPr>
            <w:tcW w:w="3199" w:type="dxa"/>
            <w:vMerge/>
          </w:tcPr>
          <w:p w:rsidR="00554504" w:rsidRPr="005A2A09" w:rsidRDefault="00554504" w:rsidP="0095646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554504" w:rsidRPr="006938E2" w:rsidRDefault="00554504" w:rsidP="009564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No-showed / same-day-canceled</w:t>
            </w:r>
          </w:p>
        </w:tc>
        <w:tc>
          <w:tcPr>
            <w:tcW w:w="810" w:type="dxa"/>
            <w:tcBorders>
              <w:top w:val="nil"/>
              <w:right w:val="nil"/>
            </w:tcBorders>
          </w:tcPr>
          <w:p w:rsidR="00554504" w:rsidRPr="006938E2" w:rsidRDefault="00554504" w:rsidP="0095646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2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899" w:type="dxa"/>
            <w:tcBorders>
              <w:top w:val="nil"/>
              <w:left w:val="nil"/>
            </w:tcBorders>
          </w:tcPr>
          <w:p w:rsidR="00554504" w:rsidRPr="006938E2" w:rsidRDefault="00554504" w:rsidP="009564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8E2">
              <w:rPr>
                <w:rFonts w:ascii="Times New Roman" w:hAnsi="Times New Roman" w:cs="Times New Roman"/>
                <w:b/>
                <w:sz w:val="20"/>
                <w:szCs w:val="20"/>
              </w:rPr>
              <w:t>(51%)</w:t>
            </w:r>
          </w:p>
        </w:tc>
      </w:tr>
      <w:tr w:rsidR="00554504" w:rsidRPr="005A2A09" w:rsidTr="0095646B">
        <w:trPr>
          <w:jc w:val="center"/>
        </w:trPr>
        <w:tc>
          <w:tcPr>
            <w:tcW w:w="9058" w:type="dxa"/>
            <w:gridSpan w:val="4"/>
          </w:tcPr>
          <w:p w:rsidR="00554504" w:rsidRPr="00E0359F" w:rsidRDefault="00554504" w:rsidP="0095646B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D3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These patients (</w:t>
            </w:r>
            <w:r w:rsidRPr="00E0359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47) were excluded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priori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from our analysis because of </w:t>
            </w:r>
            <w:r w:rsidRPr="009662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irregular process by which follow-up appointments were authorized for these patients.  At our institution, patients without recognized insurance are eligible on a case-by-case basis to receive a UPHS clinic appointment for a PDFV for which the visit’s cost will be waived.  These are typically cases in which our social work department is actively assisting the patient with enrollment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 a medical assistance program</w:t>
            </w:r>
            <w:r w:rsidRPr="000A54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</w:t>
            </w:r>
          </w:p>
          <w:p w:rsidR="00554504" w:rsidRPr="005A2A09" w:rsidRDefault="00554504" w:rsidP="0095646B">
            <w:pPr>
              <w:spacing w:before="120" w:after="1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Apart from medical oncology, surgical oncology, or radiation oncology.</w:t>
            </w:r>
          </w:p>
        </w:tc>
      </w:tr>
    </w:tbl>
    <w:p w:rsidR="006B0A81" w:rsidRPr="00554504" w:rsidRDefault="006B0A81" w:rsidP="00554504">
      <w:pPr>
        <w:jc w:val="center"/>
        <w:rPr>
          <w:rFonts w:ascii="Times New Roman" w:hAnsi="Times New Roman" w:cs="Times New Roman"/>
          <w:b/>
          <w:sz w:val="28"/>
        </w:rPr>
      </w:pPr>
      <w:bookmarkStart w:id="1" w:name="_GoBack"/>
      <w:bookmarkEnd w:id="1"/>
    </w:p>
    <w:sectPr w:rsidR="006B0A81" w:rsidRPr="00554504" w:rsidSect="00FB4C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590"/>
    <w:multiLevelType w:val="multilevel"/>
    <w:tmpl w:val="012091F6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04"/>
    <w:rsid w:val="00001F7D"/>
    <w:rsid w:val="00141CAF"/>
    <w:rsid w:val="0021638D"/>
    <w:rsid w:val="002356BF"/>
    <w:rsid w:val="002965BC"/>
    <w:rsid w:val="002A0FBB"/>
    <w:rsid w:val="00471A88"/>
    <w:rsid w:val="00554504"/>
    <w:rsid w:val="006B0A81"/>
    <w:rsid w:val="00BA0AE1"/>
    <w:rsid w:val="00C665B8"/>
    <w:rsid w:val="00DB3C29"/>
    <w:rsid w:val="00E97A42"/>
    <w:rsid w:val="00FB4C6C"/>
    <w:rsid w:val="00FD1B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5A89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1CAF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240" w:after="24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CAF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1"/>
    </w:pPr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1CAF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1CAF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shd w:val="clear" w:color="auto" w:fill="CCCCCC"/>
    </w:rPr>
  </w:style>
  <w:style w:type="paragraph" w:customStyle="1" w:styleId="header3">
    <w:name w:val="header3"/>
    <w:basedOn w:val="Heading2"/>
    <w:next w:val="Normal"/>
    <w:autoRedefine/>
    <w:qFormat/>
    <w:rsid w:val="00471A88"/>
    <w:pPr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</w:pPr>
    <w:rPr>
      <w:rFonts w:asciiTheme="majorHAnsi" w:hAnsiTheme="majorHAnsi"/>
      <w:i w:val="0"/>
      <w:color w:val="4F81BD" w:themeColor="accent1"/>
      <w:sz w:val="26"/>
      <w:lang w:eastAsia="en-US"/>
    </w:rPr>
  </w:style>
  <w:style w:type="table" w:styleId="TableGrid">
    <w:name w:val="Table Grid"/>
    <w:basedOn w:val="TableNormal"/>
    <w:uiPriority w:val="59"/>
    <w:rsid w:val="0055450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1CAF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240" w:after="24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CAF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1"/>
    </w:pPr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1CAF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1CAF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shd w:val="clear" w:color="auto" w:fill="CCCCCC"/>
    </w:rPr>
  </w:style>
  <w:style w:type="paragraph" w:customStyle="1" w:styleId="header3">
    <w:name w:val="header3"/>
    <w:basedOn w:val="Heading2"/>
    <w:next w:val="Normal"/>
    <w:autoRedefine/>
    <w:qFormat/>
    <w:rsid w:val="00471A88"/>
    <w:pPr>
      <w:numPr>
        <w:ilvl w:val="0"/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</w:pPr>
    <w:rPr>
      <w:rFonts w:asciiTheme="majorHAnsi" w:hAnsiTheme="majorHAnsi"/>
      <w:i w:val="0"/>
      <w:color w:val="4F81BD" w:themeColor="accent1"/>
      <w:sz w:val="26"/>
      <w:lang w:eastAsia="en-US"/>
    </w:rPr>
  </w:style>
  <w:style w:type="table" w:styleId="TableGrid">
    <w:name w:val="Table Grid"/>
    <w:basedOn w:val="TableNormal"/>
    <w:uiPriority w:val="59"/>
    <w:rsid w:val="0055450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Macintosh Word</Application>
  <DocSecurity>0</DocSecurity>
  <Lines>12</Lines>
  <Paragraphs>3</Paragraphs>
  <ScaleCrop>false</ScaleCrop>
  <Company>Brown University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Banerjee</dc:creator>
  <cp:keywords/>
  <dc:description/>
  <cp:lastModifiedBy>Rahul Banerjee</cp:lastModifiedBy>
  <cp:revision>1</cp:revision>
  <dcterms:created xsi:type="dcterms:W3CDTF">2017-02-24T23:14:00Z</dcterms:created>
  <dcterms:modified xsi:type="dcterms:W3CDTF">2017-02-24T23:14:00Z</dcterms:modified>
</cp:coreProperties>
</file>