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74" w:rsidRDefault="00771D74" w:rsidP="00771D7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38"/>
        <w:gridCol w:w="846"/>
        <w:gridCol w:w="720"/>
        <w:gridCol w:w="990"/>
      </w:tblGrid>
      <w:tr w:rsidR="00771D74" w:rsidRPr="00D24B7E" w:rsidTr="0095646B">
        <w:trPr>
          <w:jc w:val="center"/>
        </w:trPr>
        <w:tc>
          <w:tcPr>
            <w:tcW w:w="5994" w:type="dxa"/>
            <w:gridSpan w:val="4"/>
            <w:tcBorders>
              <w:bottom w:val="single" w:sz="4" w:space="0" w:color="auto"/>
            </w:tcBorders>
          </w:tcPr>
          <w:p w:rsidR="00771D74" w:rsidRPr="0030408A" w:rsidRDefault="00771D74" w:rsidP="00956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suppTableB"/>
            <w:r>
              <w:rPr>
                <w:rFonts w:ascii="Times New Roman" w:hAnsi="Times New Roman" w:cs="Times New Roman"/>
                <w:b/>
                <w:sz w:val="28"/>
              </w:rPr>
              <w:t>Supplementary Table B: Attendance Rates for ‘Other’ PDFV Specialty Types (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= 511)</w:t>
            </w:r>
            <w:bookmarkEnd w:id="0"/>
          </w:p>
        </w:tc>
      </w:tr>
      <w:tr w:rsidR="00771D74" w:rsidRPr="00E0359F" w:rsidTr="0095646B">
        <w:trPr>
          <w:trHeight w:val="87"/>
          <w:jc w:val="center"/>
        </w:trPr>
        <w:tc>
          <w:tcPr>
            <w:tcW w:w="3438" w:type="dxa"/>
            <w:vMerge w:val="restart"/>
            <w:shd w:val="clear" w:color="auto" w:fill="F2F2F2" w:themeFill="background1" w:themeFillShade="F2"/>
            <w:vAlign w:val="center"/>
          </w:tcPr>
          <w:p w:rsidR="00771D74" w:rsidRPr="00E0359F" w:rsidRDefault="00771D74" w:rsidP="00956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PDFV Specialty Type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1D74" w:rsidRPr="00E0359F" w:rsidRDefault="00771D74" w:rsidP="0095646B">
            <w:pPr>
              <w:jc w:val="center"/>
              <w:rPr>
                <w:rFonts w:ascii="Times New Roman" w:hAnsi="Times New Roman" w:cs="Times New Roman"/>
              </w:rPr>
            </w:pPr>
            <w:r w:rsidRPr="00E0359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1D74" w:rsidRPr="00E0359F" w:rsidRDefault="00771D74" w:rsidP="00956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59F">
              <w:rPr>
                <w:rFonts w:ascii="Times New Roman" w:hAnsi="Times New Roman" w:cs="Times New Roman"/>
                <w:b/>
              </w:rPr>
              <w:t>NS/SDC</w:t>
            </w:r>
          </w:p>
        </w:tc>
      </w:tr>
      <w:tr w:rsidR="00771D74" w:rsidRPr="00E0359F" w:rsidTr="0095646B">
        <w:trPr>
          <w:trHeight w:val="86"/>
          <w:jc w:val="center"/>
        </w:trPr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1D74" w:rsidRPr="00E0359F" w:rsidRDefault="00771D74" w:rsidP="00956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1D74" w:rsidRPr="00E0359F" w:rsidRDefault="00771D74" w:rsidP="00956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1D74" w:rsidRPr="00E0359F" w:rsidRDefault="00771D74" w:rsidP="009564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0359F">
              <w:rPr>
                <w:rFonts w:ascii="Times New Roman" w:hAnsi="Times New Roman" w:cs="Times New Roman"/>
                <w:b/>
                <w:i/>
              </w:rPr>
              <w:t>n</w:t>
            </w:r>
            <w:proofErr w:type="gramEnd"/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1D74" w:rsidRPr="00E0359F" w:rsidRDefault="00771D74" w:rsidP="00956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59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71D74" w:rsidRPr="00E0359F" w:rsidTr="0095646B">
        <w:trPr>
          <w:jc w:val="center"/>
        </w:trPr>
        <w:tc>
          <w:tcPr>
            <w:tcW w:w="3438" w:type="dxa"/>
            <w:tcBorders>
              <w:bottom w:val="nil"/>
            </w:tcBorders>
          </w:tcPr>
          <w:p w:rsidR="00771D74" w:rsidRPr="00E0359F" w:rsidRDefault="00771D74" w:rsidP="0095646B">
            <w:pPr>
              <w:ind w:left="3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Dermatology</w:t>
            </w:r>
          </w:p>
        </w:tc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0359F">
              <w:rPr>
                <w:rFonts w:ascii="Times New Roman" w:hAnsi="Times New Roman" w:cs="Times New Roman"/>
              </w:rPr>
              <w:t>%</w:t>
            </w:r>
          </w:p>
        </w:tc>
      </w:tr>
      <w:tr w:rsidR="00771D74" w:rsidRPr="00E0359F" w:rsidTr="0095646B">
        <w:trPr>
          <w:jc w:val="center"/>
        </w:trPr>
        <w:tc>
          <w:tcPr>
            <w:tcW w:w="3438" w:type="dxa"/>
            <w:tcBorders>
              <w:top w:val="nil"/>
              <w:bottom w:val="nil"/>
            </w:tcBorders>
          </w:tcPr>
          <w:p w:rsidR="00771D74" w:rsidRPr="00E0359F" w:rsidRDefault="00771D74" w:rsidP="0095646B">
            <w:pPr>
              <w:ind w:left="3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Interventional Radiology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rPr>
                <w:rFonts w:ascii="Times New Roman" w:hAnsi="Times New Roman" w:cs="Times New Roman"/>
              </w:rPr>
            </w:pPr>
            <w:r w:rsidRPr="00E035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E0359F">
              <w:rPr>
                <w:rFonts w:ascii="Times New Roman" w:hAnsi="Times New Roman" w:cs="Times New Roman"/>
              </w:rPr>
              <w:t>%</w:t>
            </w:r>
          </w:p>
        </w:tc>
      </w:tr>
      <w:tr w:rsidR="00771D74" w:rsidRPr="00E0359F" w:rsidTr="0095646B">
        <w:trPr>
          <w:jc w:val="center"/>
        </w:trPr>
        <w:tc>
          <w:tcPr>
            <w:tcW w:w="3438" w:type="dxa"/>
            <w:tcBorders>
              <w:top w:val="nil"/>
              <w:bottom w:val="nil"/>
            </w:tcBorders>
          </w:tcPr>
          <w:p w:rsidR="00771D74" w:rsidRPr="00E0359F" w:rsidRDefault="00771D74" w:rsidP="0095646B">
            <w:pPr>
              <w:ind w:left="3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Neurology / Audiology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E0359F">
              <w:rPr>
                <w:rFonts w:ascii="Times New Roman" w:hAnsi="Times New Roman" w:cs="Times New Roman"/>
              </w:rPr>
              <w:t>%</w:t>
            </w:r>
          </w:p>
        </w:tc>
      </w:tr>
      <w:tr w:rsidR="00771D74" w:rsidRPr="00E0359F" w:rsidTr="0095646B">
        <w:trPr>
          <w:jc w:val="center"/>
        </w:trPr>
        <w:tc>
          <w:tcPr>
            <w:tcW w:w="3438" w:type="dxa"/>
            <w:tcBorders>
              <w:top w:val="nil"/>
              <w:bottom w:val="nil"/>
            </w:tcBorders>
          </w:tcPr>
          <w:p w:rsidR="00771D74" w:rsidRPr="00E0359F" w:rsidRDefault="00771D74" w:rsidP="0095646B">
            <w:pPr>
              <w:ind w:left="3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Obstetrics / Gynecology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E0359F">
              <w:rPr>
                <w:rFonts w:ascii="Times New Roman" w:hAnsi="Times New Roman" w:cs="Times New Roman"/>
              </w:rPr>
              <w:t>%</w:t>
            </w:r>
          </w:p>
        </w:tc>
      </w:tr>
      <w:tr w:rsidR="00771D74" w:rsidRPr="00E0359F" w:rsidTr="0095646B">
        <w:trPr>
          <w:jc w:val="center"/>
        </w:trPr>
        <w:tc>
          <w:tcPr>
            <w:tcW w:w="3438" w:type="dxa"/>
            <w:tcBorders>
              <w:top w:val="nil"/>
              <w:bottom w:val="nil"/>
            </w:tcBorders>
          </w:tcPr>
          <w:p w:rsidR="00771D74" w:rsidRPr="00E0359F" w:rsidRDefault="00771D74" w:rsidP="0095646B">
            <w:pPr>
              <w:ind w:left="3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Ophthalmology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E0359F">
              <w:rPr>
                <w:rFonts w:ascii="Times New Roman" w:hAnsi="Times New Roman" w:cs="Times New Roman"/>
              </w:rPr>
              <w:t>%</w:t>
            </w:r>
          </w:p>
        </w:tc>
      </w:tr>
      <w:tr w:rsidR="00771D74" w:rsidRPr="00E0359F" w:rsidTr="0095646B">
        <w:trPr>
          <w:jc w:val="center"/>
        </w:trPr>
        <w:tc>
          <w:tcPr>
            <w:tcW w:w="3438" w:type="dxa"/>
            <w:tcBorders>
              <w:top w:val="nil"/>
              <w:bottom w:val="nil"/>
            </w:tcBorders>
          </w:tcPr>
          <w:p w:rsidR="00771D74" w:rsidRPr="00E0359F" w:rsidRDefault="00771D74" w:rsidP="0095646B">
            <w:pPr>
              <w:tabs>
                <w:tab w:val="left" w:pos="145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Management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E0359F">
              <w:rPr>
                <w:rFonts w:ascii="Times New Roman" w:hAnsi="Times New Roman" w:cs="Times New Roman"/>
              </w:rPr>
              <w:t>%</w:t>
            </w:r>
          </w:p>
        </w:tc>
      </w:tr>
      <w:tr w:rsidR="00771D74" w:rsidRPr="00E0359F" w:rsidTr="0095646B">
        <w:trPr>
          <w:jc w:val="center"/>
        </w:trPr>
        <w:tc>
          <w:tcPr>
            <w:tcW w:w="3438" w:type="dxa"/>
            <w:tcBorders>
              <w:top w:val="nil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Psychiatry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0359F">
              <w:rPr>
                <w:rFonts w:ascii="Times New Roman" w:hAnsi="Times New Roman" w:cs="Times New Roman"/>
              </w:rPr>
              <w:t>%</w:t>
            </w:r>
          </w:p>
        </w:tc>
      </w:tr>
      <w:tr w:rsidR="00771D74" w:rsidRPr="00E0359F" w:rsidTr="0095646B">
        <w:trPr>
          <w:jc w:val="center"/>
        </w:trPr>
        <w:tc>
          <w:tcPr>
            <w:tcW w:w="3438" w:type="dxa"/>
            <w:tcBorders>
              <w:top w:val="nil"/>
              <w:bottom w:val="nil"/>
            </w:tcBorders>
          </w:tcPr>
          <w:p w:rsidR="00771D74" w:rsidRPr="00DC5472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Miscellaneous *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:rsidR="00771D74" w:rsidRPr="00E0359F" w:rsidRDefault="00771D74" w:rsidP="0095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E0359F">
              <w:rPr>
                <w:rFonts w:ascii="Times New Roman" w:hAnsi="Times New Roman" w:cs="Times New Roman"/>
              </w:rPr>
              <w:t>%</w:t>
            </w:r>
          </w:p>
        </w:tc>
      </w:tr>
      <w:tr w:rsidR="00771D74" w:rsidRPr="00A279D3" w:rsidTr="0095646B">
        <w:trPr>
          <w:jc w:val="center"/>
        </w:trPr>
        <w:tc>
          <w:tcPr>
            <w:tcW w:w="5994" w:type="dxa"/>
            <w:gridSpan w:val="4"/>
          </w:tcPr>
          <w:p w:rsidR="00771D74" w:rsidRDefault="00771D74" w:rsidP="0095646B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28C">
              <w:rPr>
                <w:rFonts w:ascii="Times New Roman" w:hAnsi="Times New Roman" w:cs="Times New Roman"/>
                <w:i/>
                <w:sz w:val="20"/>
                <w:szCs w:val="20"/>
              </w:rPr>
              <w:t>PDFV = Post-discharge follow-up visit.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NS/SDC = No-show / same-day-cancellation.</w:t>
            </w:r>
          </w:p>
          <w:p w:rsidR="00771D74" w:rsidRPr="00A279D3" w:rsidRDefault="00771D74" w:rsidP="0095646B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 Including physical rehabilitation medicine, oral medicine, and medical genetics.</w:t>
            </w:r>
          </w:p>
        </w:tc>
      </w:tr>
    </w:tbl>
    <w:p w:rsidR="006B0A81" w:rsidRPr="00FB4C6C" w:rsidRDefault="006B0A81" w:rsidP="00FB4C6C">
      <w:pPr>
        <w:spacing w:after="0"/>
        <w:rPr>
          <w:rFonts w:ascii="Times New Roman" w:hAnsi="Times New Roman"/>
        </w:rPr>
      </w:pPr>
      <w:bookmarkStart w:id="1" w:name="_GoBack"/>
      <w:bookmarkEnd w:id="1"/>
    </w:p>
    <w:sectPr w:rsidR="006B0A81" w:rsidRPr="00FB4C6C" w:rsidSect="00FB4C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590"/>
    <w:multiLevelType w:val="multilevel"/>
    <w:tmpl w:val="012091F6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74"/>
    <w:rsid w:val="00001F7D"/>
    <w:rsid w:val="00141CAF"/>
    <w:rsid w:val="0021638D"/>
    <w:rsid w:val="002356BF"/>
    <w:rsid w:val="002965BC"/>
    <w:rsid w:val="002A0FBB"/>
    <w:rsid w:val="00471A88"/>
    <w:rsid w:val="006B0A81"/>
    <w:rsid w:val="00771D74"/>
    <w:rsid w:val="00BA0AE1"/>
    <w:rsid w:val="00C665B8"/>
    <w:rsid w:val="00DB3C29"/>
    <w:rsid w:val="00E97A42"/>
    <w:rsid w:val="00FB4C6C"/>
    <w:rsid w:val="00FD1B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5A89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1CAF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24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CAF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CAF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1CAF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shd w:val="clear" w:color="auto" w:fill="CCCCCC"/>
    </w:rPr>
  </w:style>
  <w:style w:type="paragraph" w:customStyle="1" w:styleId="header3">
    <w:name w:val="header3"/>
    <w:basedOn w:val="Heading2"/>
    <w:next w:val="Normal"/>
    <w:autoRedefine/>
    <w:qFormat/>
    <w:rsid w:val="00471A88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</w:pPr>
    <w:rPr>
      <w:rFonts w:asciiTheme="majorHAnsi" w:hAnsiTheme="majorHAnsi"/>
      <w:i w:val="0"/>
      <w:color w:val="4F81BD" w:themeColor="accent1"/>
      <w:sz w:val="26"/>
      <w:lang w:eastAsia="en-US"/>
    </w:rPr>
  </w:style>
  <w:style w:type="table" w:styleId="TableGrid">
    <w:name w:val="Table Grid"/>
    <w:basedOn w:val="TableNormal"/>
    <w:uiPriority w:val="59"/>
    <w:rsid w:val="00771D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1CAF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24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CAF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CAF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1CAF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shd w:val="clear" w:color="auto" w:fill="CCCCCC"/>
    </w:rPr>
  </w:style>
  <w:style w:type="paragraph" w:customStyle="1" w:styleId="header3">
    <w:name w:val="header3"/>
    <w:basedOn w:val="Heading2"/>
    <w:next w:val="Normal"/>
    <w:autoRedefine/>
    <w:qFormat/>
    <w:rsid w:val="00471A88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</w:pPr>
    <w:rPr>
      <w:rFonts w:asciiTheme="majorHAnsi" w:hAnsiTheme="majorHAnsi"/>
      <w:i w:val="0"/>
      <w:color w:val="4F81BD" w:themeColor="accent1"/>
      <w:sz w:val="26"/>
      <w:lang w:eastAsia="en-US"/>
    </w:rPr>
  </w:style>
  <w:style w:type="table" w:styleId="TableGrid">
    <w:name w:val="Table Grid"/>
    <w:basedOn w:val="TableNormal"/>
    <w:uiPriority w:val="59"/>
    <w:rsid w:val="00771D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Macintosh Word</Application>
  <DocSecurity>0</DocSecurity>
  <Lines>3</Lines>
  <Paragraphs>1</Paragraphs>
  <ScaleCrop>false</ScaleCrop>
  <Company>Brown University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Banerjee</dc:creator>
  <cp:keywords/>
  <dc:description/>
  <cp:lastModifiedBy>Rahul Banerjee</cp:lastModifiedBy>
  <cp:revision>1</cp:revision>
  <dcterms:created xsi:type="dcterms:W3CDTF">2017-02-24T23:14:00Z</dcterms:created>
  <dcterms:modified xsi:type="dcterms:W3CDTF">2017-02-24T23:14:00Z</dcterms:modified>
</cp:coreProperties>
</file>