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1B" w:rsidRPr="00E508BB" w:rsidRDefault="00E508BB" w:rsidP="00E508BB">
      <w:pPr>
        <w:spacing w:before="8" w:line="48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508BB">
        <w:rPr>
          <w:rFonts w:ascii="Times New Roman" w:eastAsia="Times New Roman" w:hAnsi="Times New Roman" w:cs="Times New Roman"/>
          <w:b/>
        </w:rPr>
        <w:t>Appendix 2: List of included studies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83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 xml:space="preserve">Stein EG,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Haramati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LB,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Chamarthy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Sprayregen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Davitt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MM, Freeman LM. Success of a safe and simple algorithm to reduce use of CT pulmonary angiography in the emergency department.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AJR Am J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Roentgenol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E508BB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;194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(2):392-397.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607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 xml:space="preserve">Raja AS,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Ip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IK,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Prevedello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LM, et al. Effect of computerized clinical decision support on the use and yield of CT pulmonary angiography in the emergency department.</w:t>
      </w:r>
      <w:r w:rsidRPr="00E508B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>Radiology.</w:t>
      </w:r>
      <w:r w:rsidRPr="00E508BB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;262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(2):468-474.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407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 xml:space="preserve">Raja AS,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Ip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IK, Dunne RM,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Schuur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JD, Mills AM,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Khorasani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R. Effects of Performance feedback reports on adherence to evidence- based guidelines in use of CT for evaluation of pulmonary embolism in the emergency department: A randomized trial.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Am. J.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Roentgenol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>.</w:t>
      </w:r>
      <w:r w:rsidRPr="00E508BB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November 2015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;205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(5):936-940.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394" w:hanging="820"/>
        <w:jc w:val="both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 xml:space="preserve">Raja AS, Gupta A,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Ip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IK, Mills 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AM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Khorasani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R. The use of decision support to measure documented adherence to a national imaging quality measure.</w:t>
      </w:r>
      <w:r w:rsidRPr="00E508B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Acad.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Radiol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>.</w:t>
      </w:r>
      <w:r w:rsidRPr="00E508BB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;21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(3):378-383.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5" w:line="480" w:lineRule="auto"/>
        <w:ind w:right="234" w:hanging="8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508BB">
        <w:rPr>
          <w:rFonts w:ascii="Times New Roman" w:hAnsi="Times New Roman" w:cs="Times New Roman"/>
          <w:sz w:val="22"/>
          <w:szCs w:val="22"/>
        </w:rPr>
        <w:t>Prevedello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LM, Raja AS,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Ip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IK,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Sodickson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Khorasani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R. Does clinical decision support reduce unwarranted variation in yield of CT pulmonary angiogram?</w:t>
      </w:r>
      <w:r w:rsidRPr="00E508B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>Am. J. Med.</w:t>
      </w:r>
      <w:r w:rsidRPr="00E508BB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;126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(11):975-981.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5" w:line="480" w:lineRule="auto"/>
        <w:ind w:right="569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>Kline JA, Webb WB, Jones AE, Hernandez-Nino J. Impact of a rapid rule-out protocol for pulmonary embolism on the rate of screening, missed cases, and pulmonary vascular imaging in an urban US emergency department.</w:t>
      </w:r>
      <w:r w:rsidRPr="00E508B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Ann.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Emerg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>. Med.</w:t>
      </w:r>
      <w:r w:rsidRPr="00E508BB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2004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;44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(5):490-502.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5" w:line="480" w:lineRule="auto"/>
        <w:ind w:right="422" w:hanging="820"/>
        <w:rPr>
          <w:rFonts w:ascii="Times New Roman" w:hAnsi="Times New Roman" w:cs="Times New Roman"/>
          <w:sz w:val="22"/>
          <w:szCs w:val="22"/>
        </w:rPr>
      </w:pPr>
      <w:r w:rsidRPr="00F36BAC">
        <w:rPr>
          <w:rFonts w:ascii="Times New Roman" w:hAnsi="Times New Roman" w:cs="Times New Roman"/>
          <w:sz w:val="22"/>
          <w:szCs w:val="22"/>
          <w:lang w:val="en-CA"/>
        </w:rPr>
        <w:t xml:space="preserve">Kline JA, Jones AE, Shapiro NI, et al. </w:t>
      </w:r>
      <w:r w:rsidRPr="00E508BB">
        <w:rPr>
          <w:rFonts w:ascii="Times New Roman" w:hAnsi="Times New Roman" w:cs="Times New Roman"/>
          <w:sz w:val="22"/>
          <w:szCs w:val="22"/>
        </w:rPr>
        <w:t>Multicenter, randomized trial of quantitative pretest probability to reduce unnecessary medical radiation exposure in emergency department patients with chest pain and dyspnea.</w:t>
      </w:r>
      <w:r w:rsidRPr="00E508B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Circ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Cardiovasc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 Imaging.</w:t>
      </w:r>
      <w:r w:rsidRPr="00E508BB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;7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(1):66-73.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5" w:line="480" w:lineRule="auto"/>
        <w:ind w:right="180" w:hanging="820"/>
        <w:rPr>
          <w:rFonts w:ascii="Times New Roman" w:hAnsi="Times New Roman" w:cs="Times New Roman"/>
          <w:sz w:val="22"/>
          <w:szCs w:val="22"/>
        </w:rPr>
      </w:pPr>
      <w:proofErr w:type="spellStart"/>
      <w:r w:rsidRPr="00E508BB">
        <w:rPr>
          <w:rFonts w:ascii="Times New Roman" w:hAnsi="Times New Roman" w:cs="Times New Roman"/>
          <w:sz w:val="22"/>
          <w:szCs w:val="22"/>
        </w:rPr>
        <w:t>Kanaan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Y,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Knoepp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UD, Kelly AM. The influence of education on appropriateness rates for CT pulmonary angiography in emergency department patients.</w:t>
      </w:r>
      <w:r w:rsidRPr="00E508B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Acad.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Radiol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>.</w:t>
      </w:r>
      <w:r w:rsidRPr="00E508BB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;20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(9):1107-1114.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5" w:line="480" w:lineRule="auto"/>
        <w:ind w:right="301" w:hanging="820"/>
        <w:rPr>
          <w:rFonts w:ascii="Times New Roman" w:hAnsi="Times New Roman" w:cs="Times New Roman"/>
          <w:sz w:val="22"/>
          <w:szCs w:val="22"/>
        </w:rPr>
      </w:pPr>
      <w:r w:rsidRPr="00F36BAC">
        <w:rPr>
          <w:rFonts w:ascii="Times New Roman" w:hAnsi="Times New Roman" w:cs="Times New Roman"/>
          <w:sz w:val="22"/>
          <w:szCs w:val="22"/>
          <w:lang w:val="es-ES_tradnl"/>
        </w:rPr>
        <w:lastRenderedPageBreak/>
        <w:t xml:space="preserve">Jimenez D, Resano S, Otero R, et al.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Computerised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clinical decision support for suspected PE.</w:t>
      </w:r>
      <w:r w:rsidRPr="00E508B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Thorax. </w:t>
      </w:r>
      <w:r w:rsidRPr="00E508BB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;70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(9):909-911.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341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 xml:space="preserve">Goldstein NM,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Kollef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MH, Ward S, Gage BF. The impact of the introduction of a rapid D-dimer assay on the diagnostic evaluation of suspected pulmonary embolism. </w:t>
      </w:r>
      <w:r w:rsidRPr="00E508BB">
        <w:rPr>
          <w:rFonts w:ascii="Times New Roman" w:hAnsi="Times New Roman" w:cs="Times New Roman"/>
          <w:i/>
          <w:sz w:val="22"/>
          <w:szCs w:val="22"/>
        </w:rPr>
        <w:t>Arch. Intern. Med.</w:t>
      </w:r>
      <w:r w:rsidRPr="00E508BB">
        <w:rPr>
          <w:rFonts w:ascii="Times New Roman" w:hAnsi="Times New Roman" w:cs="Times New Roman"/>
          <w:i/>
          <w:spacing w:val="3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;161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(4):567-571.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768" w:hanging="820"/>
        <w:rPr>
          <w:rFonts w:ascii="Times New Roman" w:hAnsi="Times New Roman" w:cs="Times New Roman"/>
          <w:sz w:val="22"/>
          <w:szCs w:val="22"/>
        </w:rPr>
      </w:pPr>
      <w:proofErr w:type="spellStart"/>
      <w:r w:rsidRPr="00E508BB">
        <w:rPr>
          <w:rFonts w:ascii="Times New Roman" w:hAnsi="Times New Roman" w:cs="Times New Roman"/>
          <w:sz w:val="22"/>
          <w:szCs w:val="22"/>
          <w:lang w:val="fr-CA"/>
        </w:rPr>
        <w:t>Goergen</w:t>
      </w:r>
      <w:proofErr w:type="spellEnd"/>
      <w:r w:rsidRPr="00E508BB">
        <w:rPr>
          <w:rFonts w:ascii="Times New Roman" w:hAnsi="Times New Roman" w:cs="Times New Roman"/>
          <w:sz w:val="22"/>
          <w:szCs w:val="22"/>
          <w:lang w:val="fr-CA"/>
        </w:rPr>
        <w:t xml:space="preserve"> SK, Chan T, de Campo JF, et al. </w:t>
      </w:r>
      <w:r w:rsidRPr="00E508BB">
        <w:rPr>
          <w:rFonts w:ascii="Times New Roman" w:hAnsi="Times New Roman" w:cs="Times New Roman"/>
          <w:sz w:val="22"/>
          <w:szCs w:val="22"/>
        </w:rPr>
        <w:t>Reducing the use of diagnostic imaging in patients with suspected pulmonary embolism: validation of a risk assessment strategy.</w:t>
      </w:r>
      <w:r w:rsidRPr="00E508B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Emerg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 Med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Australas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>.</w:t>
      </w:r>
      <w:r w:rsidRPr="00E508BB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2005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;17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(1):16-23.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301" w:hanging="820"/>
        <w:rPr>
          <w:rFonts w:ascii="Times New Roman" w:hAnsi="Times New Roman" w:cs="Times New Roman"/>
          <w:sz w:val="22"/>
          <w:szCs w:val="22"/>
        </w:rPr>
      </w:pPr>
      <w:proofErr w:type="spellStart"/>
      <w:r w:rsidRPr="00E508BB">
        <w:rPr>
          <w:rFonts w:ascii="Times New Roman" w:hAnsi="Times New Roman" w:cs="Times New Roman"/>
          <w:sz w:val="22"/>
          <w:szCs w:val="22"/>
        </w:rPr>
        <w:t>Geeting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GK, Beck M, Bruno MA, et al. Mandatory Assignment of Modified Wells Score Before CT Angiography for Pulmonary Embolism Fails to Improve Utilization or Percentage of Positive Cases.</w:t>
      </w:r>
      <w:r w:rsidRPr="00E508B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AJR Am J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Roentgenol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E508BB">
        <w:rPr>
          <w:rFonts w:ascii="Times New Roman" w:hAnsi="Times New Roman" w:cs="Times New Roman"/>
          <w:sz w:val="22"/>
          <w:szCs w:val="22"/>
        </w:rPr>
        <w:t>2016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;207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(2):442-449.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834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 xml:space="preserve">Dunne RM,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Ip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IK,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Abbett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S, et al. Effect of evidence-based clinical decision support on the use and yield of CT pulmonary angiographic imaging in hospitalized patients.</w:t>
      </w:r>
      <w:r w:rsidRPr="00E508B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>Radiology.</w:t>
      </w:r>
      <w:r w:rsidRPr="00E508BB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01 Jul 2015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;276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(1):167-174.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54" w:hanging="820"/>
        <w:rPr>
          <w:rFonts w:ascii="Times New Roman" w:hAnsi="Times New Roman" w:cs="Times New Roman"/>
          <w:sz w:val="22"/>
          <w:szCs w:val="22"/>
        </w:rPr>
      </w:pPr>
      <w:proofErr w:type="spellStart"/>
      <w:r w:rsidRPr="00E508BB">
        <w:rPr>
          <w:rFonts w:ascii="Times New Roman" w:hAnsi="Times New Roman" w:cs="Times New Roman"/>
          <w:sz w:val="22"/>
          <w:szCs w:val="22"/>
        </w:rPr>
        <w:t>Drescher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FS,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Chandrika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S, Weir ID, et al. Effectiveness and acceptability of a computerized decision support system using modified Wells criteria for evaluation of suspected pulmonary embolism.</w:t>
      </w:r>
      <w:r w:rsidRPr="00E508B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Ann.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Emerg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. Med.  </w:t>
      </w:r>
      <w:r w:rsidRPr="00E508BB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;57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(6):613-621.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1048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>Char S, Yoon HC. Improving appropriate use of pulmonary computed tomography angiography by increasing the serum D-dimer threshold and assessing clinical probability.</w:t>
      </w:r>
      <w:r w:rsidRPr="00E508B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>Perm J.</w:t>
      </w:r>
      <w:r w:rsidRPr="00E508BB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;18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(4):10-15.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line="480" w:lineRule="auto"/>
        <w:ind w:right="379" w:hanging="820"/>
        <w:rPr>
          <w:rFonts w:ascii="Times New Roman" w:hAnsi="Times New Roman" w:cs="Times New Roman"/>
          <w:sz w:val="22"/>
          <w:szCs w:val="22"/>
        </w:rPr>
      </w:pPr>
      <w:r w:rsidRPr="00E508BB">
        <w:rPr>
          <w:rFonts w:ascii="Times New Roman" w:hAnsi="Times New Roman" w:cs="Times New Roman"/>
          <w:sz w:val="22"/>
          <w:szCs w:val="22"/>
        </w:rPr>
        <w:t xml:space="preserve">Booker MT, Johnson JO. Optimizing CT Pulmonary Angiogram Utilization in a Community Emergency Department: A Pre- and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Postintervention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Study.</w:t>
      </w:r>
      <w:r w:rsidRPr="00E508B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J. Am. Coll.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Radiol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>.</w:t>
      </w:r>
      <w:r w:rsidRPr="00E508BB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sz w:val="22"/>
          <w:szCs w:val="22"/>
        </w:rPr>
        <w:t>01 Jan 2017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;14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(1):65-71.</w:t>
      </w:r>
    </w:p>
    <w:p w:rsidR="00BF171B" w:rsidRPr="00E508BB" w:rsidRDefault="00E508BB" w:rsidP="00E508BB">
      <w:pPr>
        <w:pStyle w:val="Corpsdetexte"/>
        <w:numPr>
          <w:ilvl w:val="0"/>
          <w:numId w:val="1"/>
        </w:numPr>
        <w:tabs>
          <w:tab w:val="left" w:pos="820"/>
        </w:tabs>
        <w:spacing w:before="5" w:line="480" w:lineRule="auto"/>
        <w:ind w:right="623" w:hanging="820"/>
        <w:rPr>
          <w:rFonts w:ascii="Times New Roman" w:hAnsi="Times New Roman" w:cs="Times New Roman"/>
          <w:sz w:val="22"/>
          <w:szCs w:val="22"/>
        </w:rPr>
      </w:pPr>
      <w:proofErr w:type="spellStart"/>
      <w:r w:rsidRPr="00E508BB">
        <w:rPr>
          <w:rFonts w:ascii="Times New Roman" w:hAnsi="Times New Roman" w:cs="Times New Roman"/>
          <w:sz w:val="22"/>
          <w:szCs w:val="22"/>
        </w:rPr>
        <w:t>Agarwal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Persaud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J,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Grabinski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R,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Rabinowitz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D, </w:t>
      </w:r>
      <w:proofErr w:type="spellStart"/>
      <w:proofErr w:type="gramStart"/>
      <w:r w:rsidRPr="00E508BB">
        <w:rPr>
          <w:rFonts w:ascii="Times New Roman" w:hAnsi="Times New Roman" w:cs="Times New Roman"/>
          <w:sz w:val="22"/>
          <w:szCs w:val="22"/>
        </w:rPr>
        <w:t>Bremner</w:t>
      </w:r>
      <w:proofErr w:type="spellEnd"/>
      <w:proofErr w:type="gramEnd"/>
      <w:r w:rsidRPr="00E508BB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E508BB">
        <w:rPr>
          <w:rFonts w:ascii="Times New Roman" w:hAnsi="Times New Roman" w:cs="Times New Roman"/>
          <w:sz w:val="22"/>
          <w:szCs w:val="22"/>
        </w:rPr>
        <w:t>Mendelson</w:t>
      </w:r>
      <w:proofErr w:type="spellEnd"/>
      <w:r w:rsidRPr="00E508BB">
        <w:rPr>
          <w:rFonts w:ascii="Times New Roman" w:hAnsi="Times New Roman" w:cs="Times New Roman"/>
          <w:sz w:val="22"/>
          <w:szCs w:val="22"/>
        </w:rPr>
        <w:t xml:space="preserve"> R. Pulmonary embolism: are we there yet?</w:t>
      </w:r>
      <w:r w:rsidRPr="00E508B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508BB">
        <w:rPr>
          <w:rFonts w:ascii="Times New Roman" w:hAnsi="Times New Roman" w:cs="Times New Roman"/>
          <w:i/>
          <w:sz w:val="22"/>
          <w:szCs w:val="22"/>
        </w:rPr>
        <w:t xml:space="preserve">J Med Imaging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Radiat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508BB">
        <w:rPr>
          <w:rFonts w:ascii="Times New Roman" w:hAnsi="Times New Roman" w:cs="Times New Roman"/>
          <w:i/>
          <w:sz w:val="22"/>
          <w:szCs w:val="22"/>
        </w:rPr>
        <w:t>Oncol</w:t>
      </w:r>
      <w:proofErr w:type="spellEnd"/>
      <w:r w:rsidRPr="00E508BB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E508BB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E508BB">
        <w:rPr>
          <w:rFonts w:ascii="Times New Roman" w:hAnsi="Times New Roman" w:cs="Times New Roman"/>
          <w:sz w:val="22"/>
          <w:szCs w:val="22"/>
        </w:rPr>
        <w:t>;56</w:t>
      </w:r>
      <w:proofErr w:type="gramEnd"/>
      <w:r w:rsidRPr="00E508BB">
        <w:rPr>
          <w:rFonts w:ascii="Times New Roman" w:hAnsi="Times New Roman" w:cs="Times New Roman"/>
          <w:sz w:val="22"/>
          <w:szCs w:val="22"/>
        </w:rPr>
        <w:t>(3):270-281.</w:t>
      </w:r>
    </w:p>
    <w:sectPr w:rsidR="00BF171B" w:rsidRPr="00E508BB" w:rsidSect="00E508BB">
      <w:headerReference w:type="default" r:id="rId8"/>
      <w:pgSz w:w="12240" w:h="15840"/>
      <w:pgMar w:top="1440" w:right="1440" w:bottom="1440" w:left="1440" w:header="7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F9" w:rsidRDefault="00E508BB">
      <w:r>
        <w:separator/>
      </w:r>
    </w:p>
  </w:endnote>
  <w:endnote w:type="continuationSeparator" w:id="0">
    <w:p w:rsidR="00CE6DF9" w:rsidRDefault="00E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F9" w:rsidRDefault="00E508BB">
      <w:r>
        <w:separator/>
      </w:r>
    </w:p>
  </w:footnote>
  <w:footnote w:type="continuationSeparator" w:id="0">
    <w:p w:rsidR="00CE6DF9" w:rsidRDefault="00E5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1B" w:rsidRDefault="00BF171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281"/>
    <w:multiLevelType w:val="hybridMultilevel"/>
    <w:tmpl w:val="5AE099B0"/>
    <w:lvl w:ilvl="0" w:tplc="82FC6BB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Arial" w:hAnsi="Times New Roman" w:cs="Times New Roman" w:hint="default"/>
        <w:b/>
        <w:bCs/>
        <w:sz w:val="22"/>
        <w:szCs w:val="22"/>
      </w:rPr>
    </w:lvl>
    <w:lvl w:ilvl="1" w:tplc="0B50816A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30EE82F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4D3687C2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955E9B08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9448D96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9D8D19A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18D7B4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B546F4A4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1B"/>
    <w:rsid w:val="00BF171B"/>
    <w:rsid w:val="00CE6DF9"/>
    <w:rsid w:val="00E508BB"/>
    <w:rsid w:val="00F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820" w:hanging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8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08BB"/>
  </w:style>
  <w:style w:type="paragraph" w:styleId="Pieddepage">
    <w:name w:val="footer"/>
    <w:basedOn w:val="Normal"/>
    <w:link w:val="PieddepageCar"/>
    <w:uiPriority w:val="99"/>
    <w:unhideWhenUsed/>
    <w:rsid w:val="00E508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820" w:hanging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8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08BB"/>
  </w:style>
  <w:style w:type="paragraph" w:styleId="Pieddepage">
    <w:name w:val="footer"/>
    <w:basedOn w:val="Normal"/>
    <w:link w:val="PieddepageCar"/>
    <w:uiPriority w:val="99"/>
    <w:unhideWhenUsed/>
    <w:rsid w:val="00E508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EndNote X5 - [Fichier EP au 17-03-28_minusduplolder1998]</vt:lpstr>
    </vt:vector>
  </TitlesOfParts>
  <Company>CHUM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EndNote X5 - [Fichier EP au 17-03-28_minusduplolder1998]</dc:title>
  <dc:creator>p0038748</dc:creator>
  <cp:lastModifiedBy>p0038748</cp:lastModifiedBy>
  <cp:revision>2</cp:revision>
  <dcterms:created xsi:type="dcterms:W3CDTF">2017-05-11T20:39:00Z</dcterms:created>
  <dcterms:modified xsi:type="dcterms:W3CDTF">2017-05-11T20:39:00Z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2017-05-11T00:00:00Z</vt:filetime>
  </property>
</Properties>
</file>