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28F52" w14:textId="77777777" w:rsidR="00AD4A74" w:rsidRPr="00AD4A74" w:rsidRDefault="007F07FB" w:rsidP="002416E7">
      <w:pPr>
        <w:spacing w:line="480" w:lineRule="auto"/>
        <w:jc w:val="center"/>
        <w:rPr>
          <w:rFonts w:cs="Arial"/>
          <w:b/>
        </w:rPr>
      </w:pPr>
      <w:r w:rsidRPr="00AD4A74">
        <w:rPr>
          <w:b/>
        </w:rPr>
        <w:t>Online Appendix for Manuscript titled “</w:t>
      </w:r>
      <w:r w:rsidR="00AD4A74" w:rsidRPr="00AD4A74">
        <w:rPr>
          <w:rFonts w:cs="Arial"/>
          <w:b/>
        </w:rPr>
        <w:t>Lean Based Redesign of Multidisciplinary Rounds on General Medicine Service”</w:t>
      </w:r>
    </w:p>
    <w:p w14:paraId="70112742" w14:textId="77777777" w:rsidR="00F23CDA" w:rsidRDefault="00F23CDA"/>
    <w:p w14:paraId="74AF12B4" w14:textId="77777777" w:rsidR="00677407" w:rsidRDefault="00677407" w:rsidP="00AB3905">
      <w:pPr>
        <w:spacing w:line="480" w:lineRule="auto"/>
        <w:rPr>
          <w:b/>
        </w:rPr>
      </w:pPr>
    </w:p>
    <w:p w14:paraId="7CD1AD96" w14:textId="2184DFEA" w:rsidR="00AB3905" w:rsidRPr="009501BA" w:rsidRDefault="00AD4A74" w:rsidP="00AB3905">
      <w:pPr>
        <w:spacing w:line="480" w:lineRule="auto"/>
        <w:rPr>
          <w:rFonts w:cs="Arial"/>
          <w:b/>
        </w:rPr>
      </w:pPr>
      <w:r w:rsidRPr="00AB3905">
        <w:rPr>
          <w:b/>
        </w:rPr>
        <w:t>Appendix 1.</w:t>
      </w:r>
      <w:r>
        <w:t xml:space="preserve"> </w:t>
      </w:r>
      <w:r w:rsidR="00AB3905">
        <w:t xml:space="preserve"> </w:t>
      </w:r>
      <w:r w:rsidR="00AB3905" w:rsidRPr="00AB3905">
        <w:rPr>
          <w:rFonts w:cs="Arial"/>
        </w:rPr>
        <w:t xml:space="preserve">Use of Lean management </w:t>
      </w:r>
      <w:r w:rsidR="00CF7E20">
        <w:rPr>
          <w:rFonts w:cs="Arial"/>
        </w:rPr>
        <w:t>to redesign our multidisciplinary rounds</w:t>
      </w:r>
    </w:p>
    <w:p w14:paraId="12304B6C" w14:textId="77777777" w:rsidR="00CF7E20" w:rsidRDefault="00CF7E20" w:rsidP="00AD4A74">
      <w:pPr>
        <w:spacing w:line="480" w:lineRule="auto"/>
        <w:rPr>
          <w:rFonts w:cs="Arial"/>
        </w:rPr>
      </w:pPr>
    </w:p>
    <w:p w14:paraId="5D5A4B85" w14:textId="31A1B48D" w:rsidR="00AD4A74" w:rsidRDefault="00CF7E20" w:rsidP="00AD4A74">
      <w:pPr>
        <w:spacing w:line="480" w:lineRule="auto"/>
        <w:rPr>
          <w:rFonts w:cs="Arial"/>
        </w:rPr>
      </w:pPr>
      <w:r>
        <w:rPr>
          <w:rFonts w:cs="Arial"/>
        </w:rPr>
        <w:t>We</w:t>
      </w:r>
      <w:r w:rsidRPr="00FD1FA1">
        <w:rPr>
          <w:rFonts w:cs="Arial"/>
        </w:rPr>
        <w:t xml:space="preserve"> leveraged three key Lean techniques</w:t>
      </w:r>
      <w:r>
        <w:rPr>
          <w:rFonts w:cs="Arial"/>
        </w:rPr>
        <w:t xml:space="preserve"> to redesign our multidisciplinary rounds (MDR): (1) Value stream management (VSM), (2) Rapid process improvement w</w:t>
      </w:r>
      <w:r w:rsidRPr="00FD1FA1">
        <w:rPr>
          <w:rFonts w:cs="Arial"/>
        </w:rPr>
        <w:t>orkshops</w:t>
      </w:r>
      <w:r>
        <w:rPr>
          <w:rFonts w:cs="Arial"/>
        </w:rPr>
        <w:t xml:space="preserve"> (RPIW),</w:t>
      </w:r>
      <w:r w:rsidRPr="00FD1FA1">
        <w:rPr>
          <w:rFonts w:cs="Arial"/>
        </w:rPr>
        <w:t xml:space="preserve"> and </w:t>
      </w:r>
      <w:r>
        <w:rPr>
          <w:rFonts w:cs="Arial"/>
        </w:rPr>
        <w:t>(3) Active daily m</w:t>
      </w:r>
      <w:r w:rsidRPr="00FD1FA1">
        <w:rPr>
          <w:rFonts w:cs="Arial"/>
        </w:rPr>
        <w:t>anagement</w:t>
      </w:r>
      <w:r>
        <w:rPr>
          <w:rFonts w:cs="Arial"/>
        </w:rPr>
        <w:t xml:space="preserve"> (ADM).</w:t>
      </w:r>
    </w:p>
    <w:p w14:paraId="14F85492" w14:textId="77777777" w:rsidR="00CF7E20" w:rsidRDefault="00CF7E20" w:rsidP="00AD4A74">
      <w:pPr>
        <w:spacing w:line="480" w:lineRule="auto"/>
        <w:rPr>
          <w:rFonts w:cs="Arial"/>
        </w:rPr>
      </w:pPr>
    </w:p>
    <w:p w14:paraId="6C100D26" w14:textId="77777777" w:rsidR="00AD4A74" w:rsidRDefault="00AD4A74" w:rsidP="00AD4A74">
      <w:pPr>
        <w:spacing w:line="480" w:lineRule="auto"/>
        <w:rPr>
          <w:rFonts w:cs="Arial"/>
        </w:rPr>
      </w:pPr>
      <w:r w:rsidRPr="000E0967">
        <w:rPr>
          <w:rFonts w:cs="Arial"/>
          <w:i/>
        </w:rPr>
        <w:t>Technique 1</w:t>
      </w:r>
      <w:r>
        <w:rPr>
          <w:rFonts w:cs="Arial"/>
        </w:rPr>
        <w:t>: VSM</w:t>
      </w:r>
      <w:r w:rsidRPr="00FD1FA1">
        <w:rPr>
          <w:rFonts w:cs="Arial"/>
        </w:rPr>
        <w:t xml:space="preserve"> is a tool that helps organizations visualize a process, identify problems </w:t>
      </w:r>
      <w:r>
        <w:rPr>
          <w:rFonts w:cs="Arial"/>
        </w:rPr>
        <w:t>within the process, and provide directions for transforming it</w:t>
      </w:r>
      <w:r w:rsidRPr="00FD1FA1">
        <w:rPr>
          <w:rFonts w:cs="Arial"/>
        </w:rPr>
        <w:t>.</w:t>
      </w:r>
      <w:r>
        <w:rPr>
          <w:rFonts w:cs="Arial"/>
        </w:rPr>
        <w:fldChar w:fldCharType="begin" w:fldLock="1"/>
      </w:r>
      <w:r>
        <w:rPr>
          <w:rFonts w:cs="Arial"/>
        </w:rPr>
        <w:instrText>ADDIN CSL_CITATION { "citationItems" : [ { "id" : "ITEM-1", "itemData" : { "author" : [ { "dropping-particle" : "", "family" : "Meyers", "given" : "Fred E", "non-dropping-particle" : "", "parse-names" : false, "suffix" : "" }, { "dropping-particle" : "", "family" : "Stewart", "given" : "Jim R", "non-dropping-particle" : "", "parse-names" : false, "suffix" : "" } ], "edition" : "3rd", "id" : "ITEM-1", "issued" : { "date-parts" : [ [ "2001" ] ] }, "publisher" : "Prentice Hall", "publisher-place" : "Upper Saddle River, NJ", "title" : "Motion and Time Study for Lean Manufacturing", "type" : "book" }, "uris" : [ "http://www.mendeley.com/documents/?uuid=fc185402-dbe4-426a-9cc7-61c9637e3e53" ] } ], "mendeley" : { "formattedCitation" : "&lt;sup&gt;1&lt;/sup&gt;", "plainTextFormattedCitation" : "1", "previouslyFormattedCitation" : "&lt;sup&gt;1&lt;/sup&gt;" }, "properties" : { "noteIndex" : 0 }, "schema" : "https://github.com/citation-style-language/schema/raw/master/csl-citation.json" }</w:instrText>
      </w:r>
      <w:r>
        <w:rPr>
          <w:rFonts w:cs="Arial"/>
        </w:rPr>
        <w:fldChar w:fldCharType="separate"/>
      </w:r>
      <w:r w:rsidRPr="00AD4A74">
        <w:rPr>
          <w:rFonts w:cs="Arial"/>
          <w:noProof/>
          <w:vertAlign w:val="superscript"/>
        </w:rPr>
        <w:t>1</w:t>
      </w:r>
      <w:r>
        <w:rPr>
          <w:rFonts w:cs="Arial"/>
        </w:rPr>
        <w:fldChar w:fldCharType="end"/>
      </w:r>
      <w:r w:rsidRPr="00FD1FA1">
        <w:rPr>
          <w:rFonts w:cs="Arial"/>
        </w:rPr>
        <w:t xml:space="preserve"> Once the current state is documented, a f</w:t>
      </w:r>
      <w:r>
        <w:rPr>
          <w:rFonts w:cs="Arial"/>
        </w:rPr>
        <w:t>uture state is created. The future state</w:t>
      </w:r>
      <w:r w:rsidRPr="00FD1FA1">
        <w:rPr>
          <w:rFonts w:cs="Arial"/>
        </w:rPr>
        <w:t xml:space="preserve"> improves on the gaps high</w:t>
      </w:r>
      <w:r>
        <w:rPr>
          <w:rFonts w:cs="Arial"/>
        </w:rPr>
        <w:t>lighted in the current state,</w:t>
      </w:r>
      <w:r w:rsidRPr="00FD1FA1">
        <w:rPr>
          <w:rFonts w:cs="Arial"/>
        </w:rPr>
        <w:t xml:space="preserve"> and redesigns new processes toward</w:t>
      </w:r>
      <w:r>
        <w:rPr>
          <w:rFonts w:cs="Arial"/>
        </w:rPr>
        <w:t>s</w:t>
      </w:r>
      <w:r w:rsidRPr="00FD1FA1">
        <w:rPr>
          <w:rFonts w:cs="Arial"/>
        </w:rPr>
        <w:t xml:space="preserve"> a target condition. </w:t>
      </w:r>
      <w:r>
        <w:rPr>
          <w:rFonts w:cs="Arial"/>
        </w:rPr>
        <w:t>When applied to a healthcare setting, VSM is used to map the patient’s journey.</w:t>
      </w:r>
      <w:r>
        <w:rPr>
          <w:rFonts w:cs="Arial"/>
        </w:rPr>
        <w:fldChar w:fldCharType="begin" w:fldLock="1"/>
      </w:r>
      <w:r>
        <w:rPr>
          <w:rFonts w:cs="Arial"/>
        </w:rPr>
        <w:instrText>ADDIN CSL_CITATION { "citationItems" : [ { "id" : "ITEM-1", "itemData" : { "author" : [ { "dropping-particle" : "", "family" : "Rother", "given" : "Mike", "non-dropping-particle" : "", "parse-names" : false, "suffix" : "" }, { "dropping-particle" : "", "family" : "Shook", "given" : "John", "non-dropping-particle" : "", "parse-names" : false, "suffix" : "" }, { "dropping-particle" : "", "family" : "Womack", "given" : "Jim", "non-dropping-particle" : "", "parse-names" : false, "suffix" : "" }, { "dropping-particle" : "", "family" : "Jones", "given" : "Dan", "non-dropping-particle" : "", "parse-names" : false, "suffix" : "" } ], "edition" : "Spi", "id" : "ITEM-1", "issued" : { "date-parts" : [ [ "1999" ] ] }, "publisher" : "Lean Enterprise Institute", "title" : "Learning to See: Value Stream Mapping to Add Value and Eliminate MUDA", "type" : "book" }, "uris" : [ "http://www.mendeley.com/documents/?uuid=fef1a76d-582e-4ff3-af55-1185828bf3d1" ] } ], "mendeley" : { "formattedCitation" : "&lt;sup&gt;2&lt;/sup&gt;", "plainTextFormattedCitation" : "2", "previouslyFormattedCitation" : "&lt;sup&gt;2&lt;/sup&gt;" }, "properties" : { "noteIndex" : 0 }, "schema" : "https://github.com/citation-style-language/schema/raw/master/csl-citation.json" }</w:instrText>
      </w:r>
      <w:r>
        <w:rPr>
          <w:rFonts w:cs="Arial"/>
        </w:rPr>
        <w:fldChar w:fldCharType="separate"/>
      </w:r>
      <w:r w:rsidRPr="00AD4A74">
        <w:rPr>
          <w:rFonts w:cs="Arial"/>
          <w:noProof/>
          <w:vertAlign w:val="superscript"/>
        </w:rPr>
        <w:t>2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</w:p>
    <w:p w14:paraId="3ED550DC" w14:textId="77777777" w:rsidR="00AD4A74" w:rsidRDefault="00AD4A74" w:rsidP="00AD4A74">
      <w:pPr>
        <w:spacing w:line="480" w:lineRule="auto"/>
        <w:rPr>
          <w:rFonts w:cs="Arial"/>
        </w:rPr>
      </w:pPr>
    </w:p>
    <w:p w14:paraId="188BCAB0" w14:textId="04CF540C" w:rsidR="00AD4A74" w:rsidRDefault="00AD4A74" w:rsidP="00AD4A74">
      <w:pPr>
        <w:spacing w:line="480" w:lineRule="auto"/>
        <w:rPr>
          <w:rFonts w:cs="Arial"/>
        </w:rPr>
      </w:pPr>
      <w:r>
        <w:rPr>
          <w:rFonts w:cs="Arial"/>
        </w:rPr>
        <w:t xml:space="preserve">In our study, we used VSM to </w:t>
      </w:r>
      <w:r w:rsidR="00630146">
        <w:rPr>
          <w:rFonts w:cs="Arial"/>
        </w:rPr>
        <w:t>map the</w:t>
      </w:r>
      <w:r w:rsidRPr="00FD1FA1">
        <w:rPr>
          <w:rFonts w:cs="Arial"/>
        </w:rPr>
        <w:t xml:space="preserve"> journey </w:t>
      </w:r>
      <w:r w:rsidR="00630146">
        <w:rPr>
          <w:rFonts w:cs="Arial"/>
        </w:rPr>
        <w:t xml:space="preserve">of our general medicine </w:t>
      </w:r>
      <w:r w:rsidR="00630146" w:rsidRPr="00D512B0">
        <w:rPr>
          <w:rFonts w:cs="Arial"/>
        </w:rPr>
        <w:t>patients</w:t>
      </w:r>
      <w:r w:rsidR="00630146">
        <w:rPr>
          <w:rFonts w:cs="Arial"/>
        </w:rPr>
        <w:t xml:space="preserve"> </w:t>
      </w:r>
      <w:r>
        <w:rPr>
          <w:rFonts w:cs="Arial"/>
        </w:rPr>
        <w:t xml:space="preserve">from </w:t>
      </w:r>
      <w:r w:rsidR="00630146">
        <w:rPr>
          <w:rFonts w:cs="Arial"/>
        </w:rPr>
        <w:t>the</w:t>
      </w:r>
      <w:r>
        <w:rPr>
          <w:rFonts w:cs="Arial"/>
        </w:rPr>
        <w:t xml:space="preserve"> </w:t>
      </w:r>
      <w:r w:rsidRPr="00FD1FA1">
        <w:rPr>
          <w:rFonts w:cs="Arial"/>
        </w:rPr>
        <w:t>Emergency Departm</w:t>
      </w:r>
      <w:r w:rsidR="00BB33C9">
        <w:rPr>
          <w:rFonts w:cs="Arial"/>
        </w:rPr>
        <w:t>ent (ED) to inpatient admission,</w:t>
      </w:r>
      <w:r w:rsidRPr="00FD1FA1">
        <w:rPr>
          <w:rFonts w:cs="Arial"/>
        </w:rPr>
        <w:t xml:space="preserve"> through the</w:t>
      </w:r>
      <w:r w:rsidR="00630146">
        <w:rPr>
          <w:rFonts w:cs="Arial"/>
        </w:rPr>
        <w:t xml:space="preserve"> patient’s stay in the hospital</w:t>
      </w:r>
      <w:r w:rsidR="00BB33C9">
        <w:rPr>
          <w:rFonts w:cs="Arial"/>
        </w:rPr>
        <w:t>, to discharge from our hospital</w:t>
      </w:r>
      <w:r w:rsidRPr="00D512B0">
        <w:rPr>
          <w:rFonts w:cs="Arial"/>
        </w:rPr>
        <w:t xml:space="preserve">. </w:t>
      </w:r>
      <w:r w:rsidRPr="00C147D9">
        <w:rPr>
          <w:rFonts w:cs="Arial"/>
        </w:rPr>
        <w:t>We also used VSM to redesign our five general medicine teaching service teams into a multidisciplinary team compris</w:t>
      </w:r>
      <w:r>
        <w:rPr>
          <w:rFonts w:cs="Arial"/>
        </w:rPr>
        <w:t>ed</w:t>
      </w:r>
      <w:r w:rsidRPr="00C147D9">
        <w:rPr>
          <w:rFonts w:cs="Arial"/>
        </w:rPr>
        <w:t xml:space="preserve"> of a case manager, social worker, pharmacist, attending physician, respiratory therapist</w:t>
      </w:r>
      <w:r>
        <w:rPr>
          <w:rFonts w:cs="Arial"/>
        </w:rPr>
        <w:t>, rehabilitation services, clinical nutritionist, unit charge nurse, and bedside nurse</w:t>
      </w:r>
      <w:r w:rsidRPr="00C147D9">
        <w:rPr>
          <w:rFonts w:cs="Arial"/>
        </w:rPr>
        <w:t>.</w:t>
      </w:r>
    </w:p>
    <w:p w14:paraId="45EB6F58" w14:textId="77777777" w:rsidR="00AD4A74" w:rsidRDefault="00AD4A74" w:rsidP="00AD4A74">
      <w:pPr>
        <w:spacing w:line="480" w:lineRule="auto"/>
        <w:rPr>
          <w:rFonts w:cs="Arial"/>
        </w:rPr>
      </w:pPr>
    </w:p>
    <w:p w14:paraId="741B5FA7" w14:textId="77777777" w:rsidR="00AD4A74" w:rsidRDefault="00AD4A74" w:rsidP="00AD4A74">
      <w:pPr>
        <w:spacing w:line="480" w:lineRule="auto"/>
        <w:rPr>
          <w:rFonts w:cs="Arial"/>
        </w:rPr>
      </w:pPr>
      <w:r w:rsidRPr="000E0967">
        <w:rPr>
          <w:rFonts w:cs="Arial"/>
          <w:i/>
        </w:rPr>
        <w:t>Technique 2</w:t>
      </w:r>
      <w:r>
        <w:rPr>
          <w:rFonts w:cs="Arial"/>
        </w:rPr>
        <w:t>: Once a</w:t>
      </w:r>
      <w:r w:rsidRPr="00FD1FA1">
        <w:rPr>
          <w:rFonts w:cs="Arial"/>
        </w:rPr>
        <w:t>n improvement plan is formed as a final step in the VSM process</w:t>
      </w:r>
      <w:r>
        <w:rPr>
          <w:rFonts w:cs="Arial"/>
        </w:rPr>
        <w:t xml:space="preserve">, it </w:t>
      </w:r>
      <w:r w:rsidRPr="00FD1FA1">
        <w:rPr>
          <w:rFonts w:cs="Arial"/>
        </w:rPr>
        <w:t xml:space="preserve">calls for multiple </w:t>
      </w:r>
      <w:r>
        <w:rPr>
          <w:rFonts w:cs="Arial"/>
        </w:rPr>
        <w:t>RPIW’s</w:t>
      </w:r>
      <w:r w:rsidRPr="00FD1FA1">
        <w:rPr>
          <w:rFonts w:cs="Arial"/>
        </w:rPr>
        <w:t xml:space="preserve"> to be conducted over several months.</w:t>
      </w:r>
      <w:r>
        <w:rPr>
          <w:rFonts w:cs="Arial"/>
        </w:rPr>
        <w:fldChar w:fldCharType="begin" w:fldLock="1"/>
      </w:r>
      <w:r>
        <w:rPr>
          <w:rFonts w:cs="Arial"/>
        </w:rPr>
        <w:instrText>ADDIN CSL_CITATION { "citationItems" : [ { "id" : "ITEM-1", "itemData" : { "author" : [ { "dropping-particle" : "", "family" : "Woodward-Hagg, H Woodbridge", "given" : "PA", "non-dropping-particle" : "", "parse-names" : false, "suffix" : "" } ], "id" : "ITEM-1", "issued" : { "date-parts" : [ [ "0" ] ] }, "publisher" : "System VPAH", "title" : "RPIW Participant Fieldbook: Guide to the Rapid Process Improvement Workshop.", "type" : "book" }, "uris" : [ "http://www.mendeley.com/documents/?uuid=0b0be36c-6027-4eb7-a29f-04e05523655f" ] } ], "mendeley" : { "formattedCitation" : "&lt;sup&gt;3&lt;/sup&gt;", "plainTextFormattedCitation" : "3", "previouslyFormattedCitation" : "&lt;sup&gt;3&lt;/sup&gt;" }, "properties" : { "noteIndex" : 0 }, "schema" : "https://github.com/citation-style-language/schema/raw/master/csl-citation.json" }</w:instrText>
      </w:r>
      <w:r>
        <w:rPr>
          <w:rFonts w:cs="Arial"/>
        </w:rPr>
        <w:fldChar w:fldCharType="separate"/>
      </w:r>
      <w:r w:rsidRPr="00AD4A74">
        <w:rPr>
          <w:rFonts w:cs="Arial"/>
          <w:noProof/>
          <w:vertAlign w:val="superscript"/>
        </w:rPr>
        <w:t>3</w:t>
      </w:r>
      <w:r>
        <w:rPr>
          <w:rFonts w:cs="Arial"/>
        </w:rPr>
        <w:fldChar w:fldCharType="end"/>
      </w:r>
      <w:r>
        <w:rPr>
          <w:rFonts w:cs="Arial"/>
        </w:rPr>
        <w:t xml:space="preserve"> R</w:t>
      </w:r>
      <w:r w:rsidRPr="00FD1FA1">
        <w:rPr>
          <w:rFonts w:cs="Arial"/>
        </w:rPr>
        <w:t>PIW is a multi-day</w:t>
      </w:r>
      <w:r>
        <w:rPr>
          <w:rFonts w:cs="Arial"/>
        </w:rPr>
        <w:t xml:space="preserve"> working session staffed by </w:t>
      </w:r>
      <w:r w:rsidRPr="00FD1FA1">
        <w:rPr>
          <w:rFonts w:cs="Arial"/>
        </w:rPr>
        <w:t>fron</w:t>
      </w:r>
      <w:r>
        <w:rPr>
          <w:rFonts w:cs="Arial"/>
        </w:rPr>
        <w:t xml:space="preserve">tline representatives and </w:t>
      </w:r>
      <w:r w:rsidRPr="00FD1FA1">
        <w:rPr>
          <w:rFonts w:cs="Arial"/>
        </w:rPr>
        <w:t>l</w:t>
      </w:r>
      <w:r>
        <w:rPr>
          <w:rFonts w:cs="Arial"/>
        </w:rPr>
        <w:t>eaders from all</w:t>
      </w:r>
      <w:r w:rsidRPr="00FD1FA1">
        <w:rPr>
          <w:rFonts w:cs="Arial"/>
        </w:rPr>
        <w:t xml:space="preserve"> </w:t>
      </w:r>
      <w:r>
        <w:rPr>
          <w:rFonts w:cs="Arial"/>
        </w:rPr>
        <w:t xml:space="preserve">the involved disciplines. </w:t>
      </w:r>
      <w:r w:rsidRPr="00FD1FA1">
        <w:rPr>
          <w:rFonts w:cs="Arial"/>
        </w:rPr>
        <w:t>It is an intense study of the current processes</w:t>
      </w:r>
      <w:r>
        <w:rPr>
          <w:rFonts w:cs="Arial"/>
        </w:rPr>
        <w:t>,</w:t>
      </w:r>
      <w:r w:rsidRPr="00FD1FA1">
        <w:rPr>
          <w:rFonts w:cs="Arial"/>
        </w:rPr>
        <w:t xml:space="preserve"> and a </w:t>
      </w:r>
      <w:r>
        <w:rPr>
          <w:rFonts w:cs="Arial"/>
        </w:rPr>
        <w:t>rapid prototyping and iteration</w:t>
      </w:r>
      <w:r w:rsidRPr="00FD1FA1">
        <w:rPr>
          <w:rFonts w:cs="Arial"/>
        </w:rPr>
        <w:t xml:space="preserve"> of improved processes. </w:t>
      </w:r>
      <w:r>
        <w:rPr>
          <w:rFonts w:cs="Arial"/>
        </w:rPr>
        <w:t>Each workshop is guided by the future state m</w:t>
      </w:r>
      <w:r w:rsidRPr="00FD1FA1">
        <w:rPr>
          <w:rFonts w:cs="Arial"/>
        </w:rPr>
        <w:t>ap created by leadership in the initial value stream session</w:t>
      </w:r>
      <w:r>
        <w:rPr>
          <w:rFonts w:cs="Arial"/>
        </w:rPr>
        <w:t>,</w:t>
      </w:r>
      <w:r w:rsidRPr="00FD1FA1">
        <w:rPr>
          <w:rFonts w:cs="Arial"/>
        </w:rPr>
        <w:t xml:space="preserve"> and has associated quantitative and qualitative targets the team is expected to achieve. </w:t>
      </w:r>
    </w:p>
    <w:p w14:paraId="59317DF5" w14:textId="77777777" w:rsidR="00AD4A74" w:rsidRDefault="00AD4A74" w:rsidP="00AD4A74">
      <w:pPr>
        <w:spacing w:line="480" w:lineRule="auto"/>
        <w:rPr>
          <w:rFonts w:cs="Arial"/>
        </w:rPr>
      </w:pPr>
    </w:p>
    <w:p w14:paraId="5AB9F63F" w14:textId="6389C793" w:rsidR="00AD4A74" w:rsidRPr="00FD1FA1" w:rsidRDefault="00AD4A74" w:rsidP="00AD4A74">
      <w:pPr>
        <w:spacing w:line="480" w:lineRule="auto"/>
        <w:rPr>
          <w:rFonts w:cs="Arial"/>
        </w:rPr>
      </w:pPr>
      <w:r>
        <w:rPr>
          <w:rFonts w:cs="Arial"/>
        </w:rPr>
        <w:t>In our study, we conducted RPIW</w:t>
      </w:r>
      <w:r w:rsidRPr="00820B0E">
        <w:rPr>
          <w:rFonts w:cs="Arial"/>
        </w:rPr>
        <w:t xml:space="preserve"> to develop the workflows </w:t>
      </w:r>
      <w:r>
        <w:rPr>
          <w:rFonts w:cs="Arial"/>
        </w:rPr>
        <w:t>from ED through discharg</w:t>
      </w:r>
      <w:r w:rsidR="00C26755">
        <w:rPr>
          <w:rFonts w:cs="Arial"/>
        </w:rPr>
        <w:t xml:space="preserve">e for general medicine patients, </w:t>
      </w:r>
      <w:r w:rsidRPr="00820B0E">
        <w:rPr>
          <w:rFonts w:cs="Arial"/>
        </w:rPr>
        <w:t xml:space="preserve">and </w:t>
      </w:r>
      <w:r>
        <w:rPr>
          <w:rFonts w:cs="Arial"/>
        </w:rPr>
        <w:t xml:space="preserve">created </w:t>
      </w:r>
      <w:r w:rsidRPr="00820B0E">
        <w:rPr>
          <w:rFonts w:cs="Arial"/>
        </w:rPr>
        <w:t xml:space="preserve">standard work </w:t>
      </w:r>
      <w:r>
        <w:rPr>
          <w:rFonts w:cs="Arial"/>
        </w:rPr>
        <w:t>on</w:t>
      </w:r>
      <w:r w:rsidRPr="00820B0E">
        <w:rPr>
          <w:rFonts w:cs="Arial"/>
        </w:rPr>
        <w:t xml:space="preserve"> how the multidisciplinary team would work together.</w:t>
      </w:r>
      <w:r w:rsidRPr="00FD1FA1">
        <w:rPr>
          <w:rFonts w:cs="Arial"/>
        </w:rPr>
        <w:t xml:space="preserve"> </w:t>
      </w:r>
    </w:p>
    <w:p w14:paraId="2B28AB5A" w14:textId="77777777" w:rsidR="00AD4A74" w:rsidRDefault="00AD4A74" w:rsidP="00AD4A74">
      <w:pPr>
        <w:spacing w:line="480" w:lineRule="auto"/>
        <w:rPr>
          <w:rFonts w:cs="Arial"/>
        </w:rPr>
      </w:pPr>
    </w:p>
    <w:p w14:paraId="524254B7" w14:textId="77777777" w:rsidR="00AD4A74" w:rsidRDefault="00AD4A74" w:rsidP="00AD4A74">
      <w:pPr>
        <w:spacing w:line="480" w:lineRule="auto"/>
        <w:rPr>
          <w:rFonts w:cs="Arial"/>
        </w:rPr>
      </w:pPr>
      <w:r w:rsidRPr="000E0967">
        <w:rPr>
          <w:rFonts w:cs="Arial"/>
          <w:i/>
        </w:rPr>
        <w:t>Technique 3</w:t>
      </w:r>
      <w:r>
        <w:rPr>
          <w:rFonts w:cs="Arial"/>
        </w:rPr>
        <w:t>: ADM</w:t>
      </w:r>
      <w:r w:rsidRPr="00FD1FA1">
        <w:rPr>
          <w:rFonts w:cs="Arial"/>
        </w:rPr>
        <w:t xml:space="preserve"> is an integral component of Lean management</w:t>
      </w:r>
      <w:r>
        <w:rPr>
          <w:rFonts w:cs="Arial"/>
        </w:rPr>
        <w:t xml:space="preserve"> system,</w:t>
      </w:r>
      <w:r w:rsidRPr="00FD1FA1">
        <w:rPr>
          <w:rFonts w:cs="Arial"/>
        </w:rPr>
        <w:t xml:space="preserve"> and is key to sustain</w:t>
      </w:r>
      <w:r>
        <w:rPr>
          <w:rFonts w:cs="Arial"/>
        </w:rPr>
        <w:t xml:space="preserve">ing </w:t>
      </w:r>
      <w:r w:rsidRPr="00FD1FA1">
        <w:rPr>
          <w:rFonts w:cs="Arial"/>
        </w:rPr>
        <w:t>newly developed processes established through</w:t>
      </w:r>
      <w:r>
        <w:rPr>
          <w:rFonts w:cs="Arial"/>
        </w:rPr>
        <w:t xml:space="preserve"> improvement projects</w:t>
      </w:r>
      <w:r w:rsidRPr="00FD1FA1">
        <w:rPr>
          <w:rFonts w:cs="Arial"/>
        </w:rPr>
        <w:t>.</w:t>
      </w:r>
      <w:r>
        <w:rPr>
          <w:rFonts w:cs="Arial"/>
        </w:rPr>
        <w:fldChar w:fldCharType="begin" w:fldLock="1"/>
      </w:r>
      <w:r>
        <w:rPr>
          <w:rFonts w:cs="Arial"/>
        </w:rPr>
        <w:instrText>ADDIN CSL_CITATION { "citationItems" : [ { "id" : "ITEM-1", "itemData" : { "author" : [ { "dropping-particle" : "", "family" : "James", "given" : "BC", "non-dropping-particle" : "", "parse-names" : false, "suffix" : "" }, { "dropping-particle" : "", "family" : "Soria", "given" : "N", "non-dropping-particle" : "", "parse-names" : false, "suffix" : "" } ], "id" : "ITEM-1", "issued" : { "date-parts" : [ [ "0" ] ] }, "title" : "How to Run Your Own Clinical Quality Improvement Training Program", "type" : "book" }, "uris" : [ "http://www.mendeley.com/documents/?uuid=4e7207fe-6165-4cb1-bc58-10281df87e04" ] } ], "mendeley" : { "formattedCitation" : "&lt;sup&gt;4&lt;/sup&gt;", "plainTextFormattedCitation" : "4", "previouslyFormattedCitation" : "&lt;sup&gt;4&lt;/sup&gt;" }, "properties" : { "noteIndex" : 0 }, "schema" : "https://github.com/citation-style-language/schema/raw/master/csl-citation.json" }</w:instrText>
      </w:r>
      <w:r>
        <w:rPr>
          <w:rFonts w:cs="Arial"/>
        </w:rPr>
        <w:fldChar w:fldCharType="separate"/>
      </w:r>
      <w:r w:rsidRPr="00AD4A74">
        <w:rPr>
          <w:rFonts w:cs="Arial"/>
          <w:noProof/>
          <w:vertAlign w:val="superscript"/>
        </w:rPr>
        <w:t>4</w:t>
      </w:r>
      <w:r>
        <w:rPr>
          <w:rFonts w:cs="Arial"/>
        </w:rPr>
        <w:fldChar w:fldCharType="end"/>
      </w:r>
      <w:r w:rsidRPr="00FD1FA1">
        <w:rPr>
          <w:rFonts w:cs="Arial"/>
        </w:rPr>
        <w:t xml:space="preserve"> </w:t>
      </w:r>
      <w:r w:rsidRPr="00E77483">
        <w:rPr>
          <w:rFonts w:cs="Arial"/>
        </w:rPr>
        <w:t xml:space="preserve">While frontline </w:t>
      </w:r>
      <w:proofErr w:type="gramStart"/>
      <w:r w:rsidRPr="00E77483">
        <w:rPr>
          <w:rFonts w:cs="Arial"/>
        </w:rPr>
        <w:t>staff develop</w:t>
      </w:r>
      <w:proofErr w:type="gramEnd"/>
      <w:r w:rsidRPr="00E77483">
        <w:rPr>
          <w:rFonts w:cs="Arial"/>
        </w:rPr>
        <w:t xml:space="preserve"> solutions to address pressing problems, leaders support the staff by being present at the workplace to observe the changes that were implemented (known as '</w:t>
      </w:r>
      <w:proofErr w:type="spellStart"/>
      <w:r w:rsidRPr="00E77483">
        <w:rPr>
          <w:rFonts w:cs="Arial"/>
        </w:rPr>
        <w:t>gemba</w:t>
      </w:r>
      <w:proofErr w:type="spellEnd"/>
      <w:r w:rsidRPr="00E77483">
        <w:rPr>
          <w:rFonts w:cs="Arial"/>
        </w:rPr>
        <w:t>').</w:t>
      </w:r>
      <w:r>
        <w:rPr>
          <w:rFonts w:cs="Arial"/>
        </w:rPr>
        <w:t xml:space="preserve"> </w:t>
      </w:r>
    </w:p>
    <w:p w14:paraId="55B8D316" w14:textId="77777777" w:rsidR="00AD4A74" w:rsidRDefault="00AD4A74" w:rsidP="00AD4A74">
      <w:pPr>
        <w:spacing w:line="480" w:lineRule="auto"/>
        <w:rPr>
          <w:rFonts w:cs="Arial"/>
        </w:rPr>
      </w:pPr>
    </w:p>
    <w:p w14:paraId="2E86CE55" w14:textId="77777777" w:rsidR="00AD4A74" w:rsidRDefault="00AD4A74" w:rsidP="00AD4A74">
      <w:pPr>
        <w:spacing w:line="480" w:lineRule="auto"/>
        <w:rPr>
          <w:rFonts w:cs="Arial"/>
        </w:rPr>
      </w:pPr>
      <w:r>
        <w:rPr>
          <w:rFonts w:cs="Arial"/>
        </w:rPr>
        <w:t>In our study, the leaders agreed on ADM</w:t>
      </w:r>
      <w:r w:rsidRPr="00820B0E">
        <w:rPr>
          <w:rFonts w:cs="Arial"/>
        </w:rPr>
        <w:t xml:space="preserve"> activities that would </w:t>
      </w:r>
      <w:r>
        <w:rPr>
          <w:rFonts w:cs="Arial"/>
        </w:rPr>
        <w:t>follow</w:t>
      </w:r>
      <w:r w:rsidRPr="00820B0E">
        <w:rPr>
          <w:rFonts w:cs="Arial"/>
        </w:rPr>
        <w:t xml:space="preserve"> imp</w:t>
      </w:r>
      <w:r>
        <w:rPr>
          <w:rFonts w:cs="Arial"/>
        </w:rPr>
        <w:t xml:space="preserve">lementation of the workflows to </w:t>
      </w:r>
      <w:r w:rsidRPr="00820B0E">
        <w:rPr>
          <w:rFonts w:cs="Arial"/>
        </w:rPr>
        <w:t xml:space="preserve">support sustainability. </w:t>
      </w:r>
      <w:r>
        <w:rPr>
          <w:rFonts w:cs="Arial"/>
        </w:rPr>
        <w:t xml:space="preserve">Specifically, they </w:t>
      </w:r>
      <w:r w:rsidRPr="00820B0E">
        <w:rPr>
          <w:rFonts w:cs="Arial"/>
        </w:rPr>
        <w:t>a</w:t>
      </w:r>
      <w:r>
        <w:rPr>
          <w:rFonts w:cs="Arial"/>
        </w:rPr>
        <w:t xml:space="preserve">greed on the amount of time they would spend at </w:t>
      </w:r>
      <w:proofErr w:type="spellStart"/>
      <w:r>
        <w:rPr>
          <w:rFonts w:cs="Arial"/>
        </w:rPr>
        <w:t>g</w:t>
      </w:r>
      <w:r w:rsidRPr="00820B0E">
        <w:rPr>
          <w:rFonts w:cs="Arial"/>
        </w:rPr>
        <w:t>emba</w:t>
      </w:r>
      <w:proofErr w:type="spellEnd"/>
      <w:r w:rsidRPr="00820B0E">
        <w:rPr>
          <w:rFonts w:cs="Arial"/>
        </w:rPr>
        <w:t xml:space="preserve"> to observe the new </w:t>
      </w:r>
      <w:r>
        <w:rPr>
          <w:rFonts w:cs="Arial"/>
        </w:rPr>
        <w:t>MDR</w:t>
      </w:r>
      <w:r w:rsidRPr="00820B0E">
        <w:rPr>
          <w:rFonts w:cs="Arial"/>
        </w:rPr>
        <w:t xml:space="preserve"> </w:t>
      </w:r>
      <w:r w:rsidRPr="00820B0E">
        <w:rPr>
          <w:rFonts w:cs="Arial"/>
        </w:rPr>
        <w:lastRenderedPageBreak/>
        <w:t>workflows, provide any feedback and coaching, engage staff</w:t>
      </w:r>
      <w:r>
        <w:rPr>
          <w:rFonts w:cs="Arial"/>
        </w:rPr>
        <w:t>,</w:t>
      </w:r>
      <w:r w:rsidRPr="00820B0E">
        <w:rPr>
          <w:rFonts w:cs="Arial"/>
        </w:rPr>
        <w:t xml:space="preserve"> and build their capacity to problem solve. </w:t>
      </w:r>
    </w:p>
    <w:p w14:paraId="6392EDE8" w14:textId="77777777" w:rsidR="009872BB" w:rsidRDefault="009872BB" w:rsidP="00291078">
      <w:pPr>
        <w:spacing w:line="480" w:lineRule="auto"/>
        <w:rPr>
          <w:rFonts w:cs="Arial"/>
        </w:rPr>
      </w:pPr>
    </w:p>
    <w:p w14:paraId="5923D804" w14:textId="11463E22" w:rsidR="00291078" w:rsidRDefault="009872BB" w:rsidP="00291078">
      <w:pPr>
        <w:spacing w:line="480" w:lineRule="auto"/>
        <w:rPr>
          <w:rFonts w:cs="Arial"/>
        </w:rPr>
      </w:pPr>
      <w:r>
        <w:rPr>
          <w:rFonts w:cs="Arial"/>
          <w:b/>
        </w:rPr>
        <w:t>Appendix 2</w:t>
      </w:r>
      <w:r w:rsidR="00291078">
        <w:rPr>
          <w:rFonts w:cs="Arial"/>
          <w:b/>
        </w:rPr>
        <w:t xml:space="preserve">. </w:t>
      </w:r>
      <w:r w:rsidR="00291078" w:rsidRPr="00A82E4C">
        <w:rPr>
          <w:rFonts w:cs="Arial"/>
        </w:rPr>
        <w:t>Sensitivity analysis for primary and secondary outcomes</w:t>
      </w:r>
      <w:r w:rsidR="00AE7A9C">
        <w:rPr>
          <w:rFonts w:cs="Arial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440"/>
        <w:gridCol w:w="1350"/>
        <w:gridCol w:w="2026"/>
        <w:gridCol w:w="1772"/>
      </w:tblGrid>
      <w:tr w:rsidR="00291078" w:rsidRPr="00B52186" w14:paraId="1A37AEB4" w14:textId="77777777" w:rsidTr="00C30B65">
        <w:tc>
          <w:tcPr>
            <w:tcW w:w="2268" w:type="dxa"/>
            <w:vAlign w:val="center"/>
          </w:tcPr>
          <w:p w14:paraId="4F22F0B0" w14:textId="77777777" w:rsidR="00291078" w:rsidRPr="00B52186" w:rsidRDefault="00291078" w:rsidP="00C30B6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6">
              <w:rPr>
                <w:rFonts w:ascii="Arial" w:hAnsi="Arial" w:cs="Arial"/>
                <w:b/>
                <w:sz w:val="20"/>
                <w:szCs w:val="20"/>
              </w:rPr>
              <w:t>Outcomes</w:t>
            </w:r>
          </w:p>
        </w:tc>
        <w:tc>
          <w:tcPr>
            <w:tcW w:w="1440" w:type="dxa"/>
          </w:tcPr>
          <w:p w14:paraId="0A78649C" w14:textId="77777777" w:rsidR="00291078" w:rsidRPr="00B52186" w:rsidRDefault="00291078" w:rsidP="00C30B6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Pre-period (N=1770</w:t>
            </w:r>
            <w:r w:rsidRPr="00B5218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47B871E3" w14:textId="77777777" w:rsidR="00291078" w:rsidRPr="00B52186" w:rsidRDefault="00291078" w:rsidP="00C30B6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186">
              <w:rPr>
                <w:rFonts w:ascii="Arial" w:hAnsi="Arial" w:cs="Arial"/>
                <w:b/>
                <w:sz w:val="20"/>
                <w:szCs w:val="20"/>
              </w:rPr>
              <w:t>Post-period (N=</w:t>
            </w:r>
            <w:r>
              <w:rPr>
                <w:rFonts w:ascii="Arial" w:hAnsi="Arial" w:cs="Arial"/>
                <w:b/>
                <w:sz w:val="20"/>
                <w:szCs w:val="20"/>
              </w:rPr>
              <w:t>1987</w:t>
            </w:r>
            <w:r w:rsidRPr="00B5218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026" w:type="dxa"/>
          </w:tcPr>
          <w:p w14:paraId="09F5FAAB" w14:textId="77777777" w:rsidR="00291078" w:rsidRPr="00B52186" w:rsidRDefault="00291078" w:rsidP="00C30B6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186">
              <w:rPr>
                <w:rFonts w:ascii="Arial" w:hAnsi="Arial" w:cs="Arial"/>
                <w:b/>
                <w:sz w:val="20"/>
                <w:szCs w:val="20"/>
              </w:rPr>
              <w:t>Absolute difference (95% CI)</w:t>
            </w:r>
          </w:p>
        </w:tc>
        <w:tc>
          <w:tcPr>
            <w:tcW w:w="1772" w:type="dxa"/>
          </w:tcPr>
          <w:p w14:paraId="3C9E267F" w14:textId="77777777" w:rsidR="00291078" w:rsidRPr="00B52186" w:rsidRDefault="00291078" w:rsidP="00C30B6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186">
              <w:rPr>
                <w:rFonts w:ascii="Arial" w:hAnsi="Arial" w:cs="Arial"/>
                <w:b/>
                <w:sz w:val="20"/>
                <w:szCs w:val="20"/>
              </w:rPr>
              <w:t>P-value for differences</w:t>
            </w:r>
          </w:p>
        </w:tc>
      </w:tr>
      <w:tr w:rsidR="00291078" w:rsidRPr="00B52186" w14:paraId="72BF951B" w14:textId="77777777" w:rsidTr="00C30B65">
        <w:tc>
          <w:tcPr>
            <w:tcW w:w="2268" w:type="dxa"/>
          </w:tcPr>
          <w:p w14:paraId="6535FDB0" w14:textId="77777777" w:rsidR="00291078" w:rsidRPr="00B52186" w:rsidRDefault="00291078" w:rsidP="00C30B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 l</w:t>
            </w:r>
            <w:r w:rsidRPr="00B52186">
              <w:rPr>
                <w:rFonts w:ascii="Arial" w:hAnsi="Arial" w:cs="Arial"/>
                <w:sz w:val="20"/>
                <w:szCs w:val="20"/>
              </w:rPr>
              <w:t>ength of stay (days)</w:t>
            </w:r>
          </w:p>
        </w:tc>
        <w:tc>
          <w:tcPr>
            <w:tcW w:w="1440" w:type="dxa"/>
            <w:vAlign w:val="center"/>
          </w:tcPr>
          <w:p w14:paraId="63524205" w14:textId="77777777" w:rsidR="00291078" w:rsidRPr="00B52186" w:rsidRDefault="00291078" w:rsidP="00C30B6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4.67</w:t>
            </w:r>
          </w:p>
        </w:tc>
        <w:tc>
          <w:tcPr>
            <w:tcW w:w="1350" w:type="dxa"/>
            <w:vAlign w:val="center"/>
          </w:tcPr>
          <w:p w14:paraId="65BBA809" w14:textId="77777777" w:rsidR="00291078" w:rsidRPr="00B52186" w:rsidRDefault="00291078" w:rsidP="00C30B6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4.76</w:t>
            </w:r>
          </w:p>
        </w:tc>
        <w:tc>
          <w:tcPr>
            <w:tcW w:w="2026" w:type="dxa"/>
            <w:vAlign w:val="center"/>
          </w:tcPr>
          <w:p w14:paraId="6B2A4286" w14:textId="77777777" w:rsidR="00291078" w:rsidRPr="00B52186" w:rsidRDefault="00291078" w:rsidP="00C30B6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  <w:r w:rsidRPr="00B52186">
              <w:rPr>
                <w:rFonts w:ascii="Arial" w:hAnsi="Arial" w:cs="Arial"/>
                <w:sz w:val="20"/>
                <w:szCs w:val="20"/>
              </w:rPr>
              <w:t xml:space="preserve"> (-0.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B52186">
              <w:rPr>
                <w:rFonts w:ascii="Arial" w:hAnsi="Arial" w:cs="Arial"/>
                <w:sz w:val="20"/>
                <w:szCs w:val="20"/>
              </w:rPr>
              <w:t xml:space="preserve"> to 0.40)</w:t>
            </w:r>
          </w:p>
        </w:tc>
        <w:tc>
          <w:tcPr>
            <w:tcW w:w="1772" w:type="dxa"/>
            <w:vAlign w:val="center"/>
          </w:tcPr>
          <w:p w14:paraId="4F47060A" w14:textId="77777777" w:rsidR="00291078" w:rsidRPr="00B52186" w:rsidRDefault="00291078" w:rsidP="00C30B6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186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536</w:t>
            </w:r>
          </w:p>
        </w:tc>
      </w:tr>
      <w:tr w:rsidR="00291078" w:rsidRPr="00B52186" w14:paraId="4D372F2C" w14:textId="77777777" w:rsidTr="00C30B65">
        <w:trPr>
          <w:trHeight w:val="854"/>
        </w:trPr>
        <w:tc>
          <w:tcPr>
            <w:tcW w:w="2268" w:type="dxa"/>
          </w:tcPr>
          <w:p w14:paraId="3AC82718" w14:textId="77777777" w:rsidR="00291078" w:rsidRPr="00B52186" w:rsidRDefault="00291078" w:rsidP="00C30B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52186">
              <w:rPr>
                <w:rFonts w:ascii="Arial" w:hAnsi="Arial" w:cs="Arial"/>
                <w:sz w:val="20"/>
                <w:szCs w:val="20"/>
              </w:rPr>
              <w:t>Mean length of stay (Case mix index adjusted days)</w:t>
            </w:r>
          </w:p>
        </w:tc>
        <w:tc>
          <w:tcPr>
            <w:tcW w:w="1440" w:type="dxa"/>
            <w:vAlign w:val="center"/>
          </w:tcPr>
          <w:p w14:paraId="2B9087FB" w14:textId="77777777" w:rsidR="00291078" w:rsidRPr="00B52186" w:rsidRDefault="00291078" w:rsidP="00C30B6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5218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center"/>
          </w:tcPr>
          <w:p w14:paraId="62BD6DDD" w14:textId="77777777" w:rsidR="00291078" w:rsidRPr="00B52186" w:rsidRDefault="00291078" w:rsidP="00C30B6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5218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6" w:type="dxa"/>
            <w:vAlign w:val="center"/>
          </w:tcPr>
          <w:p w14:paraId="182CB4A5" w14:textId="77777777" w:rsidR="00291078" w:rsidRPr="00B52186" w:rsidRDefault="00291078" w:rsidP="00C30B6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186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4 (-0.22</w:t>
            </w:r>
            <w:r w:rsidRPr="00B52186">
              <w:rPr>
                <w:rFonts w:ascii="Arial" w:hAnsi="Arial" w:cs="Arial"/>
                <w:sz w:val="20"/>
                <w:szCs w:val="20"/>
              </w:rPr>
              <w:t xml:space="preserve"> to 0.2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521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72" w:type="dxa"/>
            <w:vAlign w:val="center"/>
          </w:tcPr>
          <w:p w14:paraId="061ACD00" w14:textId="77777777" w:rsidR="00291078" w:rsidRPr="00B52186" w:rsidRDefault="00291078" w:rsidP="00C30B6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186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780</w:t>
            </w:r>
          </w:p>
        </w:tc>
      </w:tr>
      <w:tr w:rsidR="00291078" w:rsidRPr="00B52186" w14:paraId="2CA685B9" w14:textId="77777777" w:rsidTr="00C30B65">
        <w:tc>
          <w:tcPr>
            <w:tcW w:w="2268" w:type="dxa"/>
          </w:tcPr>
          <w:p w14:paraId="59199156" w14:textId="77777777" w:rsidR="00291078" w:rsidRPr="00B52186" w:rsidRDefault="00291078" w:rsidP="00C30B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52186">
              <w:rPr>
                <w:rFonts w:ascii="Arial" w:hAnsi="Arial" w:cs="Arial"/>
                <w:sz w:val="20"/>
                <w:szCs w:val="20"/>
              </w:rPr>
              <w:t>Discharges before noon (n,%)</w:t>
            </w:r>
          </w:p>
        </w:tc>
        <w:tc>
          <w:tcPr>
            <w:tcW w:w="1440" w:type="dxa"/>
            <w:vAlign w:val="center"/>
          </w:tcPr>
          <w:p w14:paraId="44E96EBA" w14:textId="77777777" w:rsidR="00291078" w:rsidRPr="00B52186" w:rsidRDefault="00291078" w:rsidP="00C30B6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  <w:r w:rsidRPr="00B5218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5218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52186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350" w:type="dxa"/>
            <w:vAlign w:val="center"/>
          </w:tcPr>
          <w:p w14:paraId="4A49B148" w14:textId="77777777" w:rsidR="00291078" w:rsidRPr="00B52186" w:rsidRDefault="00291078" w:rsidP="00C30B6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  <w:r w:rsidRPr="00B52186">
              <w:rPr>
                <w:rFonts w:ascii="Arial" w:hAnsi="Arial" w:cs="Arial"/>
                <w:sz w:val="20"/>
                <w:szCs w:val="20"/>
              </w:rPr>
              <w:t xml:space="preserve"> (1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5218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52186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26" w:type="dxa"/>
            <w:vAlign w:val="center"/>
          </w:tcPr>
          <w:p w14:paraId="0822FD96" w14:textId="77777777" w:rsidR="00291078" w:rsidRPr="00B52186" w:rsidRDefault="00291078" w:rsidP="00C30B6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186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3% (1</w:t>
            </w:r>
            <w:r w:rsidRPr="00B52186">
              <w:rPr>
                <w:rFonts w:ascii="Arial" w:hAnsi="Arial" w:cs="Arial"/>
                <w:sz w:val="20"/>
                <w:szCs w:val="20"/>
              </w:rPr>
              <w:t>.4 to 5.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521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72" w:type="dxa"/>
            <w:vAlign w:val="center"/>
          </w:tcPr>
          <w:p w14:paraId="41672295" w14:textId="77777777" w:rsidR="00291078" w:rsidRPr="00B52186" w:rsidRDefault="00291078" w:rsidP="00C30B6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186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291078" w:rsidRPr="00B52186" w14:paraId="2DF94AD5" w14:textId="77777777" w:rsidTr="00C30B65">
        <w:tc>
          <w:tcPr>
            <w:tcW w:w="2268" w:type="dxa"/>
          </w:tcPr>
          <w:p w14:paraId="0B64CAA6" w14:textId="77777777" w:rsidR="00291078" w:rsidRPr="00B52186" w:rsidRDefault="00291078" w:rsidP="00C30B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52186">
              <w:rPr>
                <w:rFonts w:ascii="Arial" w:hAnsi="Arial" w:cs="Arial"/>
                <w:sz w:val="20"/>
                <w:szCs w:val="20"/>
              </w:rPr>
              <w:t>Estimated discharge date recorded on our electronic health record within 24 hours of admission (n,%)</w:t>
            </w:r>
          </w:p>
        </w:tc>
        <w:tc>
          <w:tcPr>
            <w:tcW w:w="1440" w:type="dxa"/>
            <w:vAlign w:val="center"/>
          </w:tcPr>
          <w:p w14:paraId="34BEFDE0" w14:textId="77777777" w:rsidR="00291078" w:rsidRPr="00B52186" w:rsidRDefault="00291078" w:rsidP="00C30B6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</w:t>
            </w:r>
            <w:r w:rsidRPr="00B5218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B5218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52186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350" w:type="dxa"/>
            <w:vAlign w:val="center"/>
          </w:tcPr>
          <w:p w14:paraId="1E1E3D5D" w14:textId="77777777" w:rsidR="00291078" w:rsidRPr="00B52186" w:rsidRDefault="00291078" w:rsidP="00C30B6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18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B5218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B5218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52186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26" w:type="dxa"/>
            <w:vAlign w:val="center"/>
          </w:tcPr>
          <w:p w14:paraId="0924DB1A" w14:textId="77777777" w:rsidR="00291078" w:rsidRPr="00B52186" w:rsidRDefault="00291078" w:rsidP="00C30B6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B5218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8% (10</w:t>
            </w:r>
            <w:r w:rsidRPr="00B5218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 to 16</w:t>
            </w:r>
            <w:r w:rsidRPr="00B5218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521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72" w:type="dxa"/>
            <w:vAlign w:val="center"/>
          </w:tcPr>
          <w:p w14:paraId="65F61E67" w14:textId="77777777" w:rsidR="00291078" w:rsidRPr="00B52186" w:rsidRDefault="00291078" w:rsidP="00C30B6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186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</w:tbl>
    <w:p w14:paraId="347C5D7B" w14:textId="77777777" w:rsidR="00291078" w:rsidRDefault="00291078">
      <w:pPr>
        <w:rPr>
          <w:b/>
        </w:rPr>
      </w:pPr>
    </w:p>
    <w:p w14:paraId="7C4FE6EC" w14:textId="77777777" w:rsidR="00AD4A74" w:rsidRDefault="00AD4A74">
      <w:pPr>
        <w:rPr>
          <w:b/>
        </w:rPr>
      </w:pPr>
      <w:r w:rsidRPr="00AD4A74">
        <w:rPr>
          <w:b/>
        </w:rPr>
        <w:t>REFERENCES</w:t>
      </w:r>
    </w:p>
    <w:p w14:paraId="04BFB02A" w14:textId="77777777" w:rsidR="00291078" w:rsidRPr="00AD4A74" w:rsidRDefault="00291078">
      <w:pPr>
        <w:rPr>
          <w:b/>
        </w:rPr>
      </w:pPr>
    </w:p>
    <w:p w14:paraId="64573C53" w14:textId="77777777" w:rsidR="00AD4A74" w:rsidRPr="00AD4A74" w:rsidRDefault="00AD4A74" w:rsidP="00AD4A74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Cambria" w:hAnsi="Cambria"/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AD4A74">
        <w:rPr>
          <w:rFonts w:ascii="Cambria" w:hAnsi="Cambria"/>
          <w:noProof/>
        </w:rPr>
        <w:t xml:space="preserve">1. </w:t>
      </w:r>
      <w:r w:rsidRPr="00AD4A74">
        <w:rPr>
          <w:rFonts w:ascii="Cambria" w:hAnsi="Cambria"/>
          <w:noProof/>
        </w:rPr>
        <w:tab/>
        <w:t xml:space="preserve">Meyers FE, Stewart JR. </w:t>
      </w:r>
      <w:r w:rsidRPr="00AD4A74">
        <w:rPr>
          <w:rFonts w:ascii="Cambria" w:hAnsi="Cambria"/>
          <w:i/>
          <w:iCs/>
          <w:noProof/>
        </w:rPr>
        <w:t>Motion and Time Study for Lean Manufacturing</w:t>
      </w:r>
      <w:r w:rsidRPr="00AD4A74">
        <w:rPr>
          <w:rFonts w:ascii="Cambria" w:hAnsi="Cambria"/>
          <w:noProof/>
        </w:rPr>
        <w:t>. 3rd ed. Upper Saddle River, NJ: Prentice Hall; 2001.</w:t>
      </w:r>
    </w:p>
    <w:p w14:paraId="01B21C24" w14:textId="77777777" w:rsidR="00AD4A74" w:rsidRPr="00AD4A74" w:rsidRDefault="00AD4A74" w:rsidP="00AD4A74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Cambria" w:hAnsi="Cambria"/>
          <w:noProof/>
        </w:rPr>
      </w:pPr>
      <w:r w:rsidRPr="00AD4A74">
        <w:rPr>
          <w:rFonts w:ascii="Cambria" w:hAnsi="Cambria"/>
          <w:noProof/>
        </w:rPr>
        <w:t xml:space="preserve">2. </w:t>
      </w:r>
      <w:r w:rsidRPr="00AD4A74">
        <w:rPr>
          <w:rFonts w:ascii="Cambria" w:hAnsi="Cambria"/>
          <w:noProof/>
        </w:rPr>
        <w:tab/>
        <w:t xml:space="preserve">Rother M, Shook J, Womack J, Jones D. </w:t>
      </w:r>
      <w:r w:rsidRPr="00AD4A74">
        <w:rPr>
          <w:rFonts w:ascii="Cambria" w:hAnsi="Cambria"/>
          <w:i/>
          <w:iCs/>
          <w:noProof/>
        </w:rPr>
        <w:t>Learning to See: Value Stream Mapping to Add Value and Eliminate MUDA</w:t>
      </w:r>
      <w:r w:rsidRPr="00AD4A74">
        <w:rPr>
          <w:rFonts w:ascii="Cambria" w:hAnsi="Cambria"/>
          <w:noProof/>
        </w:rPr>
        <w:t>. Spi. Lean Enterprise Institute; 1999.</w:t>
      </w:r>
    </w:p>
    <w:p w14:paraId="28EE3858" w14:textId="2E27AEC9" w:rsidR="00AD4A74" w:rsidRPr="00AD4A74" w:rsidRDefault="00AD4A74" w:rsidP="00AD4A74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Cambria" w:hAnsi="Cambria"/>
          <w:noProof/>
        </w:rPr>
      </w:pPr>
      <w:r w:rsidRPr="00AD4A74">
        <w:rPr>
          <w:rFonts w:ascii="Cambria" w:hAnsi="Cambria"/>
          <w:noProof/>
        </w:rPr>
        <w:t xml:space="preserve">3. </w:t>
      </w:r>
      <w:r w:rsidRPr="00AD4A74">
        <w:rPr>
          <w:rFonts w:ascii="Cambria" w:hAnsi="Cambria"/>
          <w:noProof/>
        </w:rPr>
        <w:tab/>
        <w:t xml:space="preserve">Woodward-Hagg, H Woodbridge P. </w:t>
      </w:r>
      <w:r w:rsidRPr="00AD4A74">
        <w:rPr>
          <w:rFonts w:ascii="Cambria" w:hAnsi="Cambria"/>
          <w:i/>
          <w:iCs/>
          <w:noProof/>
        </w:rPr>
        <w:t>RPIW Participant Fieldbook: Guide to the Rapid Process Improvement Workshop.</w:t>
      </w:r>
      <w:r w:rsidRPr="00AD4A74">
        <w:rPr>
          <w:rFonts w:ascii="Cambria" w:hAnsi="Cambria"/>
          <w:noProof/>
        </w:rPr>
        <w:t xml:space="preserve"> System VPAH</w:t>
      </w:r>
      <w:r w:rsidR="00700E7E">
        <w:rPr>
          <w:rFonts w:ascii="Cambria" w:hAnsi="Cambria"/>
          <w:noProof/>
        </w:rPr>
        <w:t>.</w:t>
      </w:r>
    </w:p>
    <w:p w14:paraId="55F44257" w14:textId="4614F981" w:rsidR="00AD4A74" w:rsidRPr="00AD4A74" w:rsidRDefault="00AD4A74" w:rsidP="00AD4A74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Cambria" w:hAnsi="Cambria"/>
          <w:noProof/>
        </w:rPr>
      </w:pPr>
      <w:r w:rsidRPr="00AD4A74">
        <w:rPr>
          <w:rFonts w:ascii="Cambria" w:hAnsi="Cambria"/>
          <w:noProof/>
        </w:rPr>
        <w:lastRenderedPageBreak/>
        <w:t xml:space="preserve">4. </w:t>
      </w:r>
      <w:r w:rsidRPr="00AD4A74">
        <w:rPr>
          <w:rFonts w:ascii="Cambria" w:hAnsi="Cambria"/>
          <w:noProof/>
        </w:rPr>
        <w:tab/>
        <w:t xml:space="preserve">James B, Soria N. </w:t>
      </w:r>
      <w:r w:rsidRPr="00AD4A74">
        <w:rPr>
          <w:rFonts w:ascii="Cambria" w:hAnsi="Cambria"/>
          <w:i/>
          <w:iCs/>
          <w:noProof/>
        </w:rPr>
        <w:t>How to Run Your Own Clinical Quality Improvement Training Program</w:t>
      </w:r>
      <w:r w:rsidR="00291078">
        <w:rPr>
          <w:rFonts w:ascii="Cambria" w:hAnsi="Cambria"/>
          <w:noProof/>
        </w:rPr>
        <w:t>.</w:t>
      </w:r>
    </w:p>
    <w:p w14:paraId="16A1E132" w14:textId="77777777" w:rsidR="00AD4A74" w:rsidRDefault="00AD4A74" w:rsidP="00AD4A74">
      <w:pPr>
        <w:spacing w:line="480" w:lineRule="auto"/>
      </w:pPr>
      <w:r>
        <w:fldChar w:fldCharType="end"/>
      </w:r>
    </w:p>
    <w:sectPr w:rsidR="00AD4A74" w:rsidSect="00F23C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um, Kim Fai Kenny">
    <w15:presenceInfo w15:providerId="AD" w15:userId="S-1-5-21-1292407741-3760857420-1411248183-7558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FB"/>
    <w:rsid w:val="000D7B32"/>
    <w:rsid w:val="000E0967"/>
    <w:rsid w:val="002416E7"/>
    <w:rsid w:val="00291078"/>
    <w:rsid w:val="002B480B"/>
    <w:rsid w:val="002E7693"/>
    <w:rsid w:val="003357A3"/>
    <w:rsid w:val="0041035F"/>
    <w:rsid w:val="00446DFB"/>
    <w:rsid w:val="00447C7E"/>
    <w:rsid w:val="00556F77"/>
    <w:rsid w:val="005716CC"/>
    <w:rsid w:val="005A0164"/>
    <w:rsid w:val="00630146"/>
    <w:rsid w:val="00631DA1"/>
    <w:rsid w:val="00677407"/>
    <w:rsid w:val="00700E7E"/>
    <w:rsid w:val="007836F0"/>
    <w:rsid w:val="007F07FB"/>
    <w:rsid w:val="008611D9"/>
    <w:rsid w:val="00965ACD"/>
    <w:rsid w:val="00986724"/>
    <w:rsid w:val="009872BB"/>
    <w:rsid w:val="00A82E4C"/>
    <w:rsid w:val="00AA38C9"/>
    <w:rsid w:val="00AB3905"/>
    <w:rsid w:val="00AD4A74"/>
    <w:rsid w:val="00AE7A9C"/>
    <w:rsid w:val="00B0099B"/>
    <w:rsid w:val="00BB33C9"/>
    <w:rsid w:val="00BC0648"/>
    <w:rsid w:val="00C05D74"/>
    <w:rsid w:val="00C26755"/>
    <w:rsid w:val="00C46844"/>
    <w:rsid w:val="00CF7E20"/>
    <w:rsid w:val="00D54D45"/>
    <w:rsid w:val="00D6577F"/>
    <w:rsid w:val="00F23CDA"/>
    <w:rsid w:val="00FB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7374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7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F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E7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7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F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E7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1166</Words>
  <Characters>6648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 Rohatgi</dc:creator>
  <cp:keywords/>
  <dc:description/>
  <cp:lastModifiedBy>Nidhi Rohatgi</cp:lastModifiedBy>
  <cp:revision>5</cp:revision>
  <dcterms:created xsi:type="dcterms:W3CDTF">2017-08-31T01:36:00Z</dcterms:created>
  <dcterms:modified xsi:type="dcterms:W3CDTF">2017-09-12T01:05:00Z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http://www.zotero.org/styles/american-medical-association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54eb17e9-bd26-3c24-874b-a7ad5031c578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http://www.zotero.org/styles/annals-of-surgery</vt:lpwstr>
  </property>
  <property fmtid="{D5CDD505-2E9C-101B-9397-08002B2CF9AE}" pid="12" name="Mendeley Recent Style Name 3_1">
    <vt:lpwstr>Annals of Surgery</vt:lpwstr>
  </property>
  <property fmtid="{D5CDD505-2E9C-101B-9397-08002B2CF9AE}" pid="13" name="Mendeley Recent Style Id 4_1">
    <vt:lpwstr>http://www.zotero.org/styles/bmj-quality-and-safety</vt:lpwstr>
  </property>
  <property fmtid="{D5CDD505-2E9C-101B-9397-08002B2CF9AE}" pid="14" name="Mendeley Recent Style Name 4_1">
    <vt:lpwstr>BMJ Quality &amp; Safety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http://www.zotero.org/styles/journal-of-the-american-college-of-surgeons</vt:lpwstr>
  </property>
  <property fmtid="{D5CDD505-2E9C-101B-9397-08002B2CF9AE}" pid="22" name="Mendeley Recent Style Name 8_1">
    <vt:lpwstr>Journal of the American College of Surgeons</vt:lpwstr>
  </property>
  <property fmtid="{D5CDD505-2E9C-101B-9397-08002B2CF9AE}" pid="23" name="Mendeley Recent Style Id 9_1">
    <vt:lpwstr>http://www.zotero.org/styles/vancouver-superscript</vt:lpwstr>
  </property>
  <property fmtid="{D5CDD505-2E9C-101B-9397-08002B2CF9AE}" pid="24" name="Mendeley Recent Style Name 9_1">
    <vt:lpwstr>Vancouver (superscript)</vt:lpwstr>
  </property>
</Properties>
</file>