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04C45" w14:textId="233DDAAF" w:rsidR="0031248B" w:rsidRPr="00392D98" w:rsidRDefault="0031248B" w:rsidP="0031248B">
      <w:pPr>
        <w:spacing w:after="0" w:line="240" w:lineRule="auto"/>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Supplemental Figure 1</w:t>
      </w:r>
      <w:r w:rsidRPr="00392D98">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sz w:val="24"/>
          <w:szCs w:val="24"/>
          <w:lang w:eastAsia="en-US"/>
        </w:rPr>
        <w:t>Correlation Matrices</w:t>
      </w:r>
      <w:r w:rsidRPr="00392D98">
        <w:rPr>
          <w:rFonts w:ascii="Times New Roman" w:eastAsia="Times New Roman" w:hAnsi="Times New Roman" w:cs="Times New Roman"/>
          <w:sz w:val="24"/>
          <w:szCs w:val="24"/>
          <w:lang w:eastAsia="en-US"/>
        </w:rPr>
        <w:t xml:space="preserve"> of </w:t>
      </w:r>
      <w:r w:rsidRPr="00392D98">
        <w:rPr>
          <w:rFonts w:ascii="Times New Roman" w:hAnsi="Times New Roman" w:cs="Times New Roman"/>
          <w:sz w:val="24"/>
          <w:szCs w:val="24"/>
        </w:rPr>
        <w:t xml:space="preserve">Study Participants’ </w:t>
      </w:r>
      <w:r w:rsidRPr="00392D98">
        <w:rPr>
          <w:rFonts w:ascii="Times New Roman" w:eastAsia="Times New Roman" w:hAnsi="Times New Roman" w:cs="Times New Roman"/>
          <w:sz w:val="24"/>
          <w:szCs w:val="24"/>
          <w:lang w:eastAsia="en-US"/>
        </w:rPr>
        <w:t>Numeracy, Health literacy, and Cognition assessments</w:t>
      </w:r>
    </w:p>
    <w:p w14:paraId="562AA1D2"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r w:rsidRPr="007F00F3">
        <w:rPr>
          <w:rFonts w:ascii="Times New Roman" w:eastAsia="Times New Roman" w:hAnsi="Times New Roman" w:cs="Times New Roman"/>
          <w:b/>
          <w:noProof/>
          <w:sz w:val="24"/>
          <w:szCs w:val="24"/>
          <w:lang w:eastAsia="en-US"/>
        </w:rPr>
        <w:drawing>
          <wp:anchor distT="0" distB="0" distL="114300" distR="114300" simplePos="0" relativeHeight="251659264" behindDoc="0" locked="0" layoutInCell="1" allowOverlap="1" wp14:anchorId="4AA7FD0D" wp14:editId="29A3AAC6">
            <wp:simplePos x="0" y="0"/>
            <wp:positionH relativeFrom="column">
              <wp:posOffset>1613423</wp:posOffset>
            </wp:positionH>
            <wp:positionV relativeFrom="paragraph">
              <wp:posOffset>55506</wp:posOffset>
            </wp:positionV>
            <wp:extent cx="5866771" cy="6053716"/>
            <wp:effectExtent l="0" t="0" r="635" b="0"/>
            <wp:wrapNone/>
            <wp:docPr id="1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a:stretch>
                      <a:fillRect/>
                    </a:stretch>
                  </pic:blipFill>
                  <pic:spPr>
                    <a:xfrm>
                      <a:off x="0" y="0"/>
                      <a:ext cx="5866771" cy="6053716"/>
                    </a:xfrm>
                    <a:prstGeom prst="rect">
                      <a:avLst/>
                    </a:prstGeom>
                  </pic:spPr>
                </pic:pic>
              </a:graphicData>
            </a:graphic>
            <wp14:sizeRelH relativeFrom="margin">
              <wp14:pctWidth>0</wp14:pctWidth>
            </wp14:sizeRelH>
            <wp14:sizeRelV relativeFrom="margin">
              <wp14:pctHeight>0</wp14:pctHeight>
            </wp14:sizeRelV>
          </wp:anchor>
        </w:drawing>
      </w:r>
    </w:p>
    <w:p w14:paraId="3C8EDC51"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FA6DFE6"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FE8578A"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1F7332EF"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2175C096"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3D69F217"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24792DA8"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57D93C94"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3F5DC99"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A1CA376"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7B7C374"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FD20DF5"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86E6185"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DA00C59"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300694CA"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0786D6F0"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5AF06896"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53E9338F"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346BD276"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2775C6B8"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C55501E"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1FEF6F7C"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3F94A0C5"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3E86C4C"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68F8B6E"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0BE4E36A"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6F514ED"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330A382"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5BFDA324"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2C689204"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42B6798C"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6D61BE62"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59D19D3A" w14:textId="77777777" w:rsidR="0031248B" w:rsidRDefault="0031248B" w:rsidP="0031248B">
      <w:pPr>
        <w:spacing w:after="0" w:line="240" w:lineRule="auto"/>
        <w:outlineLvl w:val="0"/>
        <w:rPr>
          <w:rFonts w:ascii="Times New Roman" w:eastAsia="Times New Roman" w:hAnsi="Times New Roman" w:cs="Times New Roman"/>
          <w:b/>
          <w:sz w:val="24"/>
          <w:szCs w:val="24"/>
          <w:lang w:eastAsia="en-US"/>
        </w:rPr>
      </w:pPr>
    </w:p>
    <w:p w14:paraId="59899C00" w14:textId="77777777" w:rsidR="0031248B" w:rsidRDefault="0031248B" w:rsidP="0031248B">
      <w:pPr>
        <w:spacing w:after="0" w:line="240" w:lineRule="auto"/>
        <w:outlineLvl w:val="0"/>
        <w:rPr>
          <w:rFonts w:ascii="Times New Roman" w:eastAsia="Times New Roman" w:hAnsi="Times New Roman" w:cs="Times New Roman"/>
          <w:b/>
          <w:bCs/>
          <w:sz w:val="20"/>
          <w:szCs w:val="20"/>
          <w:lang w:eastAsia="en-US"/>
        </w:rPr>
      </w:pPr>
    </w:p>
    <w:p w14:paraId="0F32955A" w14:textId="77777777" w:rsidR="0031248B" w:rsidRDefault="0031248B" w:rsidP="0031248B">
      <w:pPr>
        <w:spacing w:after="0" w:line="240" w:lineRule="auto"/>
        <w:outlineLvl w:val="0"/>
        <w:rPr>
          <w:rFonts w:ascii="Times New Roman" w:eastAsia="Times New Roman" w:hAnsi="Times New Roman" w:cs="Times New Roman"/>
          <w:b/>
          <w:bCs/>
          <w:sz w:val="20"/>
          <w:szCs w:val="20"/>
          <w:lang w:eastAsia="en-US"/>
        </w:rPr>
      </w:pPr>
    </w:p>
    <w:p w14:paraId="22986002" w14:textId="3C8F5420" w:rsidR="0031248B" w:rsidRPr="007F00F3" w:rsidRDefault="0031248B" w:rsidP="0031248B">
      <w:pPr>
        <w:spacing w:after="0" w:line="240" w:lineRule="auto"/>
        <w:outlineLvl w:val="0"/>
        <w:rPr>
          <w:rFonts w:ascii="Times New Roman" w:eastAsia="Times New Roman" w:hAnsi="Times New Roman" w:cs="Times New Roman"/>
          <w:sz w:val="20"/>
          <w:szCs w:val="20"/>
          <w:lang w:eastAsia="en-US"/>
        </w:rPr>
      </w:pPr>
      <w:r>
        <w:rPr>
          <w:rFonts w:ascii="Times New Roman" w:eastAsia="Times New Roman" w:hAnsi="Times New Roman" w:cs="Times New Roman"/>
          <w:b/>
          <w:bCs/>
          <w:sz w:val="20"/>
          <w:szCs w:val="20"/>
          <w:lang w:eastAsia="en-US"/>
        </w:rPr>
        <w:t>Supplemental 1</w:t>
      </w:r>
      <w:r w:rsidRPr="007F00F3">
        <w:rPr>
          <w:rFonts w:ascii="Times New Roman" w:eastAsia="Times New Roman" w:hAnsi="Times New Roman" w:cs="Times New Roman"/>
          <w:b/>
          <w:bCs/>
          <w:sz w:val="20"/>
          <w:szCs w:val="20"/>
          <w:lang w:eastAsia="en-US"/>
        </w:rPr>
        <w:t xml:space="preserve"> Figure Legend: </w:t>
      </w:r>
      <w:r w:rsidRPr="007F00F3">
        <w:rPr>
          <w:rFonts w:ascii="Times New Roman" w:eastAsia="Times New Roman" w:hAnsi="Times New Roman" w:cs="Times New Roman"/>
          <w:sz w:val="20"/>
          <w:szCs w:val="20"/>
          <w:lang w:eastAsia="en-US"/>
        </w:rPr>
        <w:t>Correlation matrices demonstrating the relationship between numeracy (SNS), literacy (BHLS and sTOFHLA), and cognition (SPMSQ) of the study participants. The darker dots indicate greater numbers of participants who scored in that range, for each of the scales. Of note, the SPMSQ is the only scale that is in reverse direction. T</w:t>
      </w:r>
      <w:r w:rsidRPr="007F00F3">
        <w:rPr>
          <w:rFonts w:ascii="Times New Roman" w:eastAsia="Times New Roman" w:hAnsi="Times New Roman" w:cs="Times New Roman"/>
          <w:sz w:val="20"/>
          <w:szCs w:val="20"/>
          <w:u w:val="single"/>
          <w:lang w:eastAsia="en-US"/>
        </w:rPr>
        <w:t>op Row</w:t>
      </w:r>
      <w:r w:rsidRPr="007F00F3">
        <w:rPr>
          <w:rFonts w:ascii="Times New Roman" w:eastAsia="Times New Roman" w:hAnsi="Times New Roman" w:cs="Times New Roman"/>
          <w:sz w:val="20"/>
          <w:szCs w:val="20"/>
          <w:lang w:eastAsia="en-US"/>
        </w:rPr>
        <w:t xml:space="preserve"> shows that the BHLS and the SNS are moderately correlated (rho=0.41) and that the SNS and the sTOFHLA are weakly correlated (rho=0.28). </w:t>
      </w:r>
      <w:r w:rsidRPr="007F00F3">
        <w:rPr>
          <w:rFonts w:ascii="Times New Roman" w:eastAsia="Times New Roman" w:hAnsi="Times New Roman" w:cs="Times New Roman"/>
          <w:sz w:val="20"/>
          <w:szCs w:val="20"/>
          <w:u w:val="single"/>
          <w:lang w:eastAsia="en-US"/>
        </w:rPr>
        <w:t xml:space="preserve">Middle Row </w:t>
      </w:r>
      <w:r w:rsidRPr="007F00F3">
        <w:rPr>
          <w:rFonts w:ascii="Times New Roman" w:eastAsia="Times New Roman" w:hAnsi="Times New Roman" w:cs="Times New Roman"/>
          <w:sz w:val="20"/>
          <w:szCs w:val="20"/>
          <w:lang w:eastAsia="en-US"/>
        </w:rPr>
        <w:t xml:space="preserve">shows that the SPMSQ and the SNS are weakly correlated (rho =-0.26) and the BHLS and the sTOFHLA are weakly correlated (rho = 0.39). </w:t>
      </w:r>
      <w:r w:rsidRPr="007F00F3">
        <w:rPr>
          <w:rFonts w:ascii="Times New Roman" w:eastAsia="Times New Roman" w:hAnsi="Times New Roman" w:cs="Times New Roman"/>
          <w:sz w:val="20"/>
          <w:szCs w:val="20"/>
          <w:u w:val="single"/>
          <w:lang w:eastAsia="en-US"/>
        </w:rPr>
        <w:t>Bottom Row</w:t>
      </w:r>
      <w:r w:rsidRPr="007F00F3">
        <w:rPr>
          <w:rFonts w:ascii="Times New Roman" w:eastAsia="Times New Roman" w:hAnsi="Times New Roman" w:cs="Times New Roman"/>
          <w:sz w:val="20"/>
          <w:szCs w:val="20"/>
          <w:lang w:eastAsia="en-US"/>
        </w:rPr>
        <w:t xml:space="preserve"> shows that the SPMSQ and the BHLS are weakly correlated (-0.25) and the SPMSQ and the sTOF</w:t>
      </w:r>
      <w:r>
        <w:rPr>
          <w:rFonts w:ascii="Times New Roman" w:eastAsia="Times New Roman" w:hAnsi="Times New Roman" w:cs="Times New Roman"/>
          <w:sz w:val="20"/>
          <w:szCs w:val="20"/>
          <w:lang w:eastAsia="en-US"/>
        </w:rPr>
        <w:t>H</w:t>
      </w:r>
      <w:r w:rsidRPr="007F00F3">
        <w:rPr>
          <w:rFonts w:ascii="Times New Roman" w:eastAsia="Times New Roman" w:hAnsi="Times New Roman" w:cs="Times New Roman"/>
          <w:sz w:val="20"/>
          <w:szCs w:val="20"/>
          <w:lang w:eastAsia="en-US"/>
        </w:rPr>
        <w:t xml:space="preserve">LA are weakly correlated (rho=-0.35)  </w:t>
      </w:r>
    </w:p>
    <w:p w14:paraId="7B3E4A27" w14:textId="1878AD12" w:rsidR="007D56DC" w:rsidRDefault="0031248B" w:rsidP="0093489E">
      <w:pPr>
        <w:spacing w:after="0" w:line="240" w:lineRule="auto"/>
        <w:outlineLvl w:val="0"/>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Supplemental Figure 2</w:t>
      </w:r>
      <w:r w:rsidR="005A598E">
        <w:rPr>
          <w:rFonts w:ascii="Times New Roman" w:eastAsia="Times New Roman" w:hAnsi="Times New Roman" w:cs="Times New Roman"/>
          <w:b/>
          <w:sz w:val="24"/>
          <w:szCs w:val="24"/>
          <w:lang w:eastAsia="en-US"/>
        </w:rPr>
        <w:t xml:space="preserve">. </w:t>
      </w:r>
      <w:r w:rsidR="007F00F3" w:rsidRPr="007D56DC">
        <w:rPr>
          <w:rFonts w:ascii="Times New Roman" w:eastAsia="Times New Roman" w:hAnsi="Times New Roman" w:cs="Times New Roman"/>
          <w:sz w:val="24"/>
          <w:szCs w:val="24"/>
          <w:lang w:eastAsia="en-US"/>
        </w:rPr>
        <w:t>Study Flow Diagram</w:t>
      </w:r>
    </w:p>
    <w:p w14:paraId="3F11698F" w14:textId="77777777" w:rsidR="007D56DC" w:rsidRDefault="007D56DC" w:rsidP="0093489E">
      <w:pPr>
        <w:spacing w:after="0" w:line="240" w:lineRule="auto"/>
        <w:outlineLvl w:val="0"/>
        <w:rPr>
          <w:rFonts w:ascii="Times New Roman" w:eastAsia="Times New Roman" w:hAnsi="Times New Roman" w:cs="Times New Roman"/>
          <w:b/>
          <w:sz w:val="24"/>
          <w:szCs w:val="24"/>
          <w:lang w:eastAsia="en-US"/>
        </w:rPr>
      </w:pPr>
    </w:p>
    <w:p w14:paraId="2CA3AB89" w14:textId="77777777" w:rsidR="005A598E" w:rsidRDefault="005A598E" w:rsidP="005A598E">
      <w:pPr>
        <w:spacing w:after="0" w:line="240" w:lineRule="auto"/>
        <w:jc w:val="center"/>
        <w:outlineLvl w:val="0"/>
        <w:rPr>
          <w:rFonts w:ascii="Times New Roman" w:eastAsia="Times New Roman" w:hAnsi="Times New Roman" w:cs="Times New Roman"/>
          <w:b/>
          <w:sz w:val="24"/>
          <w:szCs w:val="24"/>
          <w:lang w:eastAsia="en-US"/>
        </w:rPr>
      </w:pPr>
      <w:r w:rsidRPr="005A598E">
        <w:rPr>
          <w:rFonts w:ascii="Times New Roman" w:eastAsia="Times New Roman" w:hAnsi="Times New Roman" w:cs="Times New Roman"/>
          <w:b/>
          <w:noProof/>
          <w:sz w:val="24"/>
          <w:szCs w:val="24"/>
          <w:lang w:eastAsia="en-US"/>
        </w:rPr>
        <w:drawing>
          <wp:inline distT="0" distB="0" distL="0" distR="0" wp14:anchorId="7129B417" wp14:editId="401A3BC0">
            <wp:extent cx="5279390" cy="65712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5881"/>
                    <a:stretch/>
                  </pic:blipFill>
                  <pic:spPr bwMode="auto">
                    <a:xfrm>
                      <a:off x="0" y="0"/>
                      <a:ext cx="5320609" cy="6622570"/>
                    </a:xfrm>
                    <a:prstGeom prst="rect">
                      <a:avLst/>
                    </a:prstGeom>
                    <a:ln>
                      <a:noFill/>
                    </a:ln>
                    <a:extLst>
                      <a:ext uri="{53640926-AAD7-44D8-BBD7-CCE9431645EC}">
                        <a14:shadowObscured xmlns:a14="http://schemas.microsoft.com/office/drawing/2010/main"/>
                      </a:ext>
                    </a:extLst>
                  </pic:spPr>
                </pic:pic>
              </a:graphicData>
            </a:graphic>
          </wp:inline>
        </w:drawing>
      </w:r>
    </w:p>
    <w:p w14:paraId="626B07A6" w14:textId="77777777" w:rsidR="007D56DC" w:rsidRDefault="007D56DC" w:rsidP="005A598E">
      <w:pPr>
        <w:spacing w:after="0" w:line="240" w:lineRule="auto"/>
        <w:outlineLvl w:val="0"/>
        <w:rPr>
          <w:rFonts w:ascii="Times New Roman" w:eastAsia="Times New Roman" w:hAnsi="Times New Roman" w:cs="Times New Roman"/>
          <w:sz w:val="20"/>
          <w:szCs w:val="20"/>
          <w:lang w:eastAsia="en-US"/>
        </w:rPr>
      </w:pPr>
    </w:p>
    <w:p w14:paraId="28FDD342" w14:textId="14687788" w:rsidR="007D56DC" w:rsidRPr="007D56DC" w:rsidRDefault="0031248B" w:rsidP="005A598E">
      <w:pPr>
        <w:spacing w:after="0" w:line="240" w:lineRule="auto"/>
        <w:outlineLvl w:val="0"/>
        <w:rPr>
          <w:rFonts w:ascii="Times New Roman" w:eastAsia="Times New Roman" w:hAnsi="Times New Roman" w:cs="Times New Roman"/>
          <w:sz w:val="20"/>
          <w:szCs w:val="20"/>
          <w:lang w:eastAsia="en-US"/>
        </w:rPr>
      </w:pPr>
      <w:r>
        <w:rPr>
          <w:rFonts w:ascii="Times New Roman" w:eastAsia="Times New Roman" w:hAnsi="Times New Roman" w:cs="Times New Roman"/>
          <w:b/>
          <w:sz w:val="20"/>
          <w:szCs w:val="20"/>
          <w:lang w:eastAsia="en-US"/>
        </w:rPr>
        <w:t xml:space="preserve">Supplemental </w:t>
      </w:r>
      <w:r w:rsidR="007D56DC" w:rsidRPr="007D56DC">
        <w:rPr>
          <w:rFonts w:ascii="Times New Roman" w:eastAsia="Times New Roman" w:hAnsi="Times New Roman" w:cs="Times New Roman"/>
          <w:b/>
          <w:sz w:val="20"/>
          <w:szCs w:val="20"/>
          <w:lang w:eastAsia="en-US"/>
        </w:rPr>
        <w:t>Figure</w:t>
      </w:r>
      <w:r>
        <w:rPr>
          <w:rFonts w:ascii="Times New Roman" w:eastAsia="Times New Roman" w:hAnsi="Times New Roman" w:cs="Times New Roman"/>
          <w:b/>
          <w:sz w:val="20"/>
          <w:szCs w:val="20"/>
          <w:lang w:eastAsia="en-US"/>
        </w:rPr>
        <w:t xml:space="preserve"> 2</w:t>
      </w:r>
      <w:r w:rsidR="007D56DC" w:rsidRPr="007D56DC">
        <w:rPr>
          <w:rFonts w:ascii="Times New Roman" w:eastAsia="Times New Roman" w:hAnsi="Times New Roman" w:cs="Times New Roman"/>
          <w:b/>
          <w:sz w:val="20"/>
          <w:szCs w:val="20"/>
          <w:lang w:eastAsia="en-US"/>
        </w:rPr>
        <w:t xml:space="preserve"> Legend:</w:t>
      </w:r>
      <w:r w:rsidR="007D56DC" w:rsidRPr="007D56DC">
        <w:rPr>
          <w:rFonts w:ascii="Times New Roman" w:eastAsia="Times New Roman" w:hAnsi="Times New Roman" w:cs="Times New Roman"/>
          <w:sz w:val="20"/>
          <w:szCs w:val="20"/>
          <w:lang w:eastAsia="en-US"/>
        </w:rPr>
        <w:t xml:space="preserve"> ACS: Acute Coronary Syndrome; ADHF: Acute Decompensated Heart Failure</w:t>
      </w:r>
    </w:p>
    <w:p w14:paraId="08378B9B" w14:textId="38444742" w:rsidR="0093489E" w:rsidRPr="00D65DC1" w:rsidRDefault="0093489E" w:rsidP="0093489E">
      <w:pPr>
        <w:spacing w:after="0" w:line="240" w:lineRule="auto"/>
        <w:rPr>
          <w:rFonts w:ascii="Times New Roman" w:eastAsia="Times New Roman" w:hAnsi="Times New Roman" w:cs="Times New Roman"/>
          <w:sz w:val="24"/>
          <w:szCs w:val="24"/>
          <w:lang w:eastAsia="en-US"/>
        </w:rPr>
      </w:pPr>
      <w:r w:rsidRPr="001B700F">
        <w:rPr>
          <w:rFonts w:ascii="Times New Roman" w:hAnsi="Times New Roman" w:cs="Times New Roman"/>
          <w:b/>
          <w:sz w:val="24"/>
          <w:szCs w:val="24"/>
        </w:rPr>
        <w:t xml:space="preserve">Supplemental Table 1. </w:t>
      </w:r>
      <w:r w:rsidRPr="007D56DC">
        <w:rPr>
          <w:rFonts w:ascii="Times New Roman" w:hAnsi="Times New Roman" w:cs="Times New Roman"/>
          <w:sz w:val="24"/>
          <w:szCs w:val="24"/>
        </w:rPr>
        <w:t xml:space="preserve">Characteristics of Study Participants Hospitalized for Acute Decompensated Heart Failure </w:t>
      </w:r>
      <w:r w:rsidR="001B700F" w:rsidRPr="007D56DC">
        <w:rPr>
          <w:rFonts w:ascii="Times New Roman" w:hAnsi="Times New Roman" w:cs="Times New Roman"/>
          <w:sz w:val="24"/>
          <w:szCs w:val="24"/>
        </w:rPr>
        <w:t>(ADHF) by Subjective Health Literacy</w:t>
      </w:r>
    </w:p>
    <w:p w14:paraId="55F35E8C" w14:textId="4752995A" w:rsidR="0093489E" w:rsidRDefault="0093489E" w:rsidP="00003D23">
      <w:pPr>
        <w:spacing w:after="0" w:line="240" w:lineRule="auto"/>
        <w:jc w:val="center"/>
        <w:rPr>
          <w:rFonts w:ascii="Times New Roman" w:hAnsi="Times New Roman" w:cs="Times New Roman"/>
          <w:sz w:val="24"/>
          <w:szCs w:val="24"/>
        </w:rPr>
      </w:pPr>
    </w:p>
    <w:p w14:paraId="46D1DD5F" w14:textId="66AC4512" w:rsidR="009C37AE" w:rsidRDefault="009C37AE" w:rsidP="00003D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object w:dxaOrig="7820" w:dyaOrig="9620" w14:anchorId="7266D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1pt;height:408.5pt" o:ole="">
            <v:imagedata r:id="rId7" o:title=""/>
          </v:shape>
          <o:OLEObject Type="Embed" ProgID="Excel.Sheet.12" ShapeID="_x0000_i1025" DrawAspect="Content" ObjectID="_1570352738" r:id="rId8"/>
        </w:object>
      </w:r>
    </w:p>
    <w:p w14:paraId="034A3986" w14:textId="77777777" w:rsidR="009C37AE" w:rsidRDefault="009C37AE" w:rsidP="009C37AE">
      <w:pPr>
        <w:spacing w:after="0" w:line="240" w:lineRule="auto"/>
        <w:rPr>
          <w:rFonts w:ascii="Times New Roman" w:hAnsi="Times New Roman" w:cs="Times New Roman"/>
          <w:sz w:val="24"/>
          <w:szCs w:val="24"/>
        </w:rPr>
      </w:pPr>
    </w:p>
    <w:p w14:paraId="6097D633" w14:textId="77777777" w:rsidR="00D65DC1" w:rsidRPr="00466433" w:rsidRDefault="00D65DC1" w:rsidP="00D65DC1">
      <w:pPr>
        <w:spacing w:after="0" w:line="240" w:lineRule="auto"/>
        <w:rPr>
          <w:rFonts w:ascii="Times New Roman" w:hAnsi="Times New Roman" w:cs="Times New Roman"/>
          <w:b/>
          <w:bCs/>
          <w:sz w:val="24"/>
          <w:szCs w:val="24"/>
        </w:rPr>
      </w:pPr>
      <w:r w:rsidRPr="00753DF9">
        <w:rPr>
          <w:rFonts w:ascii="Times New Roman" w:hAnsi="Times New Roman" w:cs="Times New Roman"/>
          <w:color w:val="212121"/>
          <w:sz w:val="18"/>
          <w:szCs w:val="18"/>
          <w:lang w:eastAsia="en-US"/>
        </w:rPr>
        <w:t>Continuous variables are summarized with the median and Inter Decile Range: median (IDR)</w:t>
      </w:r>
    </w:p>
    <w:p w14:paraId="3C015AF0" w14:textId="77777777" w:rsidR="00D65DC1" w:rsidRPr="00753DF9" w:rsidRDefault="00D65DC1" w:rsidP="00D65DC1">
      <w:pPr>
        <w:spacing w:after="0" w:line="240" w:lineRule="auto"/>
        <w:jc w:val="both"/>
        <w:rPr>
          <w:rFonts w:ascii="Times New Roman" w:hAnsi="Times New Roman" w:cs="Times New Roman"/>
          <w:color w:val="212121"/>
          <w:sz w:val="18"/>
          <w:szCs w:val="18"/>
          <w:lang w:eastAsia="en-US"/>
        </w:rPr>
      </w:pPr>
      <w:r w:rsidRPr="00753DF9">
        <w:rPr>
          <w:rFonts w:ascii="Times New Roman" w:hAnsi="Times New Roman" w:cs="Times New Roman"/>
          <w:color w:val="212121"/>
          <w:sz w:val="18"/>
          <w:szCs w:val="18"/>
          <w:lang w:eastAsia="en-US"/>
        </w:rPr>
        <w:t>Categorical variables are summarized with the n and percentage: n (%)</w:t>
      </w:r>
    </w:p>
    <w:p w14:paraId="1B0A7F0F" w14:textId="77777777" w:rsidR="00D65DC1" w:rsidRPr="00753DF9" w:rsidRDefault="00D65DC1" w:rsidP="00D65DC1">
      <w:pPr>
        <w:widowControl w:val="0"/>
        <w:autoSpaceDE w:val="0"/>
        <w:autoSpaceDN w:val="0"/>
        <w:adjustRightInd w:val="0"/>
        <w:spacing w:after="0" w:line="240" w:lineRule="auto"/>
        <w:rPr>
          <w:rFonts w:ascii="Times New Roman" w:hAnsi="Times New Roman" w:cs="Times New Roman"/>
          <w:sz w:val="18"/>
          <w:szCs w:val="18"/>
        </w:rPr>
      </w:pPr>
      <w:r w:rsidRPr="00753DF9">
        <w:rPr>
          <w:rFonts w:ascii="Times New Roman" w:hAnsi="Times New Roman" w:cs="Times New Roman"/>
          <w:sz w:val="18"/>
          <w:szCs w:val="18"/>
        </w:rPr>
        <w:t xml:space="preserve">N is the number of non–missing values </w:t>
      </w:r>
    </w:p>
    <w:p w14:paraId="7CB91C11" w14:textId="77777777" w:rsidR="00D65DC1" w:rsidRPr="00753DF9" w:rsidRDefault="00D65DC1" w:rsidP="00D65DC1">
      <w:pPr>
        <w:widowControl w:val="0"/>
        <w:autoSpaceDE w:val="0"/>
        <w:autoSpaceDN w:val="0"/>
        <w:adjustRightInd w:val="0"/>
        <w:spacing w:after="0" w:line="240" w:lineRule="auto"/>
        <w:rPr>
          <w:rFonts w:ascii="Times New Roman" w:hAnsi="Times New Roman" w:cs="Times New Roman"/>
          <w:sz w:val="18"/>
          <w:szCs w:val="18"/>
        </w:rPr>
      </w:pPr>
      <w:r w:rsidRPr="00753DF9">
        <w:rPr>
          <w:rStyle w:val="s1"/>
          <w:rFonts w:ascii="Times New Roman" w:hAnsi="Times New Roman" w:cs="Times New Roman"/>
          <w:sz w:val="18"/>
          <w:szCs w:val="18"/>
        </w:rPr>
        <w:t>Income was considered a continuous variable but the numbers represent ordinal categories: 1=&lt;$10,000, 2=$10,000–$14,999, 3=$15,000–$19,999, 4=$20,000–$24,999, 5=$25,000–$34,999, 6=$35,000–$49,999, 7=$50,000–$74,999, 8=$75,000–$99,999, 9=$100,000.</w:t>
      </w:r>
    </w:p>
    <w:p w14:paraId="6476AC2A" w14:textId="77777777" w:rsidR="00D65DC1" w:rsidRPr="00753DF9" w:rsidRDefault="00D65DC1" w:rsidP="00D65DC1">
      <w:pPr>
        <w:spacing w:after="0" w:line="240" w:lineRule="auto"/>
        <w:rPr>
          <w:rFonts w:ascii="Times New Roman" w:hAnsi="Times New Roman" w:cs="Times New Roman"/>
          <w:sz w:val="18"/>
          <w:szCs w:val="18"/>
          <w:lang w:eastAsia="en-US"/>
        </w:rPr>
      </w:pPr>
      <w:r w:rsidRPr="00753DF9">
        <w:rPr>
          <w:rFonts w:ascii="Times New Roman" w:hAnsi="Times New Roman" w:cs="Times New Roman"/>
          <w:sz w:val="18"/>
          <w:szCs w:val="18"/>
        </w:rPr>
        <w:t>Educational attainment ranges from 1 year to 25 years.</w:t>
      </w:r>
    </w:p>
    <w:p w14:paraId="37B7A7FE" w14:textId="77777777" w:rsidR="00D65DC1" w:rsidRPr="00753DF9" w:rsidRDefault="00D65DC1" w:rsidP="00D65DC1">
      <w:pPr>
        <w:spacing w:after="0" w:line="240" w:lineRule="auto"/>
        <w:rPr>
          <w:rFonts w:ascii="Times New Roman" w:hAnsi="Times New Roman" w:cs="Times New Roman"/>
          <w:color w:val="212121"/>
          <w:sz w:val="18"/>
          <w:szCs w:val="18"/>
          <w:lang w:eastAsia="en-US"/>
        </w:rPr>
      </w:pPr>
      <w:r w:rsidRPr="00753DF9">
        <w:rPr>
          <w:rFonts w:ascii="Times New Roman" w:hAnsi="Times New Roman" w:cs="Times New Roman"/>
          <w:sz w:val="18"/>
          <w:szCs w:val="18"/>
          <w:lang w:eastAsia="en-US"/>
        </w:rPr>
        <w:t>For associations with categorical variables</w:t>
      </w:r>
      <w:r w:rsidRPr="00753DF9">
        <w:rPr>
          <w:rFonts w:ascii="Times New Roman" w:hAnsi="Times New Roman" w:cs="Times New Roman"/>
          <w:color w:val="212121"/>
          <w:sz w:val="18"/>
          <w:szCs w:val="18"/>
          <w:lang w:eastAsia="en-US"/>
        </w:rPr>
        <w:t>, the Pearson Chi-Square test was used</w:t>
      </w:r>
    </w:p>
    <w:p w14:paraId="1BB481DC" w14:textId="77777777" w:rsidR="00D65DC1" w:rsidRDefault="00D65DC1" w:rsidP="00D65DC1">
      <w:pPr>
        <w:spacing w:after="0" w:line="240" w:lineRule="auto"/>
        <w:rPr>
          <w:rFonts w:ascii="Times New Roman" w:hAnsi="Times New Roman" w:cs="Times New Roman"/>
          <w:color w:val="212121"/>
          <w:sz w:val="18"/>
          <w:szCs w:val="18"/>
          <w:lang w:eastAsia="en-US"/>
        </w:rPr>
      </w:pPr>
      <w:r w:rsidRPr="00753DF9">
        <w:rPr>
          <w:rFonts w:ascii="Times New Roman" w:hAnsi="Times New Roman" w:cs="Times New Roman"/>
          <w:color w:val="212121"/>
          <w:sz w:val="18"/>
          <w:szCs w:val="18"/>
          <w:lang w:eastAsia="en-US"/>
        </w:rPr>
        <w:t xml:space="preserve">For associations with continuous variables, the </w:t>
      </w:r>
      <w:proofErr w:type="spellStart"/>
      <w:r w:rsidRPr="00753DF9">
        <w:rPr>
          <w:rFonts w:ascii="Times New Roman" w:hAnsi="Times New Roman" w:cs="Times New Roman"/>
          <w:color w:val="000000"/>
          <w:sz w:val="18"/>
          <w:szCs w:val="18"/>
          <w:shd w:val="clear" w:color="auto" w:fill="FFFFFF"/>
        </w:rPr>
        <w:t>Kruskal</w:t>
      </w:r>
      <w:proofErr w:type="spellEnd"/>
      <w:r w:rsidRPr="00753DF9">
        <w:rPr>
          <w:rFonts w:ascii="Times New Roman" w:hAnsi="Times New Roman" w:cs="Times New Roman"/>
          <w:color w:val="000000"/>
          <w:sz w:val="18"/>
          <w:szCs w:val="18"/>
          <w:shd w:val="clear" w:color="auto" w:fill="FFFFFF"/>
        </w:rPr>
        <w:t>-Wallis</w:t>
      </w:r>
      <w:r w:rsidRPr="00753DF9">
        <w:rPr>
          <w:rFonts w:ascii="Times New Roman" w:hAnsi="Times New Roman" w:cs="Times New Roman"/>
          <w:color w:val="212121"/>
          <w:sz w:val="18"/>
          <w:szCs w:val="18"/>
          <w:lang w:eastAsia="en-US"/>
        </w:rPr>
        <w:t xml:space="preserve"> test was used</w:t>
      </w:r>
    </w:p>
    <w:p w14:paraId="79E2AADD" w14:textId="77777777" w:rsidR="009C37AE" w:rsidRPr="00753DF9" w:rsidRDefault="009C37AE" w:rsidP="00D65DC1">
      <w:pPr>
        <w:spacing w:after="0" w:line="240" w:lineRule="auto"/>
        <w:rPr>
          <w:rFonts w:ascii="Times New Roman" w:hAnsi="Times New Roman" w:cs="Times New Roman"/>
          <w:color w:val="212121"/>
          <w:sz w:val="18"/>
          <w:szCs w:val="18"/>
          <w:lang w:eastAsia="en-US"/>
        </w:rPr>
      </w:pPr>
    </w:p>
    <w:p w14:paraId="4C66A67F" w14:textId="4C530824" w:rsidR="0093489E" w:rsidRPr="007D56DC" w:rsidRDefault="00B84EEF" w:rsidP="0093489E">
      <w:pPr>
        <w:rPr>
          <w:rFonts w:ascii="Times New Roman" w:hAnsi="Times New Roman" w:cs="Times New Roman"/>
          <w:bCs/>
          <w:sz w:val="24"/>
          <w:szCs w:val="24"/>
        </w:rPr>
      </w:pPr>
      <w:r w:rsidRPr="001B700F">
        <w:rPr>
          <w:rFonts w:ascii="Times New Roman" w:hAnsi="Times New Roman" w:cs="Times New Roman"/>
          <w:b/>
          <w:bCs/>
          <w:sz w:val="24"/>
          <w:szCs w:val="24"/>
        </w:rPr>
        <w:t>S</w:t>
      </w:r>
      <w:r w:rsidR="001B700F">
        <w:rPr>
          <w:rFonts w:ascii="Times New Roman" w:hAnsi="Times New Roman" w:cs="Times New Roman"/>
          <w:b/>
          <w:bCs/>
          <w:sz w:val="24"/>
          <w:szCs w:val="24"/>
        </w:rPr>
        <w:t>upplemental Table 2</w:t>
      </w:r>
      <w:r w:rsidR="0093489E" w:rsidRPr="001B700F">
        <w:rPr>
          <w:rFonts w:ascii="Times New Roman" w:hAnsi="Times New Roman" w:cs="Times New Roman"/>
          <w:b/>
          <w:bCs/>
          <w:sz w:val="24"/>
          <w:szCs w:val="24"/>
        </w:rPr>
        <w:t xml:space="preserve">. </w:t>
      </w:r>
      <w:r w:rsidR="0093489E" w:rsidRPr="007D56DC">
        <w:rPr>
          <w:rFonts w:ascii="Times New Roman" w:hAnsi="Times New Roman" w:cs="Times New Roman"/>
          <w:bCs/>
          <w:sz w:val="24"/>
          <w:szCs w:val="24"/>
        </w:rPr>
        <w:t xml:space="preserve">Characteristics of </w:t>
      </w:r>
      <w:r w:rsidR="0093489E" w:rsidRPr="007D56DC">
        <w:rPr>
          <w:rFonts w:ascii="Times New Roman" w:hAnsi="Times New Roman" w:cs="Times New Roman"/>
          <w:sz w:val="24"/>
          <w:szCs w:val="24"/>
        </w:rPr>
        <w:t xml:space="preserve">Study Participants Hospitalized for Acute Decompensated Heart Failure (ADHF) by </w:t>
      </w:r>
      <w:r w:rsidR="0093489E" w:rsidRPr="007D56DC">
        <w:rPr>
          <w:rFonts w:ascii="Times New Roman" w:hAnsi="Times New Roman" w:cs="Times New Roman"/>
          <w:bCs/>
          <w:sz w:val="24"/>
          <w:szCs w:val="24"/>
        </w:rPr>
        <w:t xml:space="preserve">the 30-day Readmissions </w:t>
      </w:r>
    </w:p>
    <w:p w14:paraId="190E3692" w14:textId="43543DE6" w:rsidR="0093489E" w:rsidRDefault="00EC2728" w:rsidP="00FD3A86">
      <w:pPr>
        <w:jc w:val="center"/>
        <w:rPr>
          <w:rFonts w:ascii="Times New Roman" w:hAnsi="Times New Roman" w:cs="Times New Roman"/>
          <w:sz w:val="24"/>
          <w:szCs w:val="24"/>
        </w:rPr>
      </w:pPr>
      <w:r>
        <w:rPr>
          <w:rFonts w:ascii="Times New Roman" w:hAnsi="Times New Roman" w:cs="Times New Roman"/>
          <w:sz w:val="24"/>
          <w:szCs w:val="24"/>
        </w:rPr>
        <w:object w:dxaOrig="11980" w:dyaOrig="9620" w14:anchorId="7619E14C">
          <v:shape id="_x0000_i1026" type="#_x0000_t75" style="width:510.6pt;height:409.95pt" o:ole="">
            <v:imagedata r:id="rId9" o:title=""/>
          </v:shape>
          <o:OLEObject Type="Embed" ProgID="Excel.Sheet.12" ShapeID="_x0000_i1026" DrawAspect="Content" ObjectID="_1570352739" r:id="rId10"/>
        </w:object>
      </w:r>
    </w:p>
    <w:p w14:paraId="6C552E01" w14:textId="77777777" w:rsidR="00D65DC1" w:rsidRPr="00753DF9" w:rsidRDefault="00D65DC1" w:rsidP="00D65DC1">
      <w:pPr>
        <w:widowControl w:val="0"/>
        <w:autoSpaceDE w:val="0"/>
        <w:autoSpaceDN w:val="0"/>
        <w:adjustRightInd w:val="0"/>
        <w:spacing w:after="0" w:line="240" w:lineRule="auto"/>
        <w:rPr>
          <w:rFonts w:ascii="Times New Roman" w:hAnsi="Times New Roman" w:cs="Times New Roman"/>
          <w:sz w:val="18"/>
          <w:szCs w:val="18"/>
        </w:rPr>
      </w:pPr>
      <w:r w:rsidRPr="00753DF9">
        <w:rPr>
          <w:rFonts w:ascii="Times New Roman" w:hAnsi="Times New Roman" w:cs="Times New Roman"/>
          <w:sz w:val="18"/>
          <w:szCs w:val="18"/>
        </w:rPr>
        <w:t xml:space="preserve">N is the number of non–missing values </w:t>
      </w:r>
    </w:p>
    <w:p w14:paraId="1AD2D36D" w14:textId="77777777" w:rsidR="00D65DC1" w:rsidRPr="00753DF9" w:rsidRDefault="00D65DC1" w:rsidP="00D65DC1">
      <w:pPr>
        <w:spacing w:after="0" w:line="240" w:lineRule="auto"/>
        <w:rPr>
          <w:rFonts w:ascii="Times New Roman" w:hAnsi="Times New Roman" w:cs="Times New Roman"/>
          <w:color w:val="212121"/>
          <w:sz w:val="18"/>
          <w:szCs w:val="18"/>
          <w:lang w:eastAsia="en-US"/>
        </w:rPr>
      </w:pPr>
      <w:r w:rsidRPr="00753DF9">
        <w:rPr>
          <w:rFonts w:ascii="Times New Roman" w:hAnsi="Times New Roman" w:cs="Times New Roman"/>
          <w:sz w:val="18"/>
          <w:szCs w:val="18"/>
          <w:lang w:eastAsia="en-US"/>
        </w:rPr>
        <w:t>For associations with categorical variables</w:t>
      </w:r>
      <w:r w:rsidRPr="00753DF9">
        <w:rPr>
          <w:rFonts w:ascii="Times New Roman" w:hAnsi="Times New Roman" w:cs="Times New Roman"/>
          <w:color w:val="212121"/>
          <w:sz w:val="18"/>
          <w:szCs w:val="18"/>
          <w:lang w:eastAsia="en-US"/>
        </w:rPr>
        <w:t>, the Pearson Chi-Square test was used</w:t>
      </w:r>
    </w:p>
    <w:p w14:paraId="2505C834" w14:textId="77777777" w:rsidR="00D65DC1" w:rsidRPr="00753DF9" w:rsidRDefault="00D65DC1" w:rsidP="00D65DC1">
      <w:pPr>
        <w:spacing w:after="0" w:line="240" w:lineRule="auto"/>
        <w:rPr>
          <w:rFonts w:ascii="Times New Roman" w:hAnsi="Times New Roman" w:cs="Times New Roman"/>
          <w:color w:val="212121"/>
          <w:sz w:val="18"/>
          <w:szCs w:val="18"/>
          <w:lang w:eastAsia="en-US"/>
        </w:rPr>
      </w:pPr>
      <w:r w:rsidRPr="00753DF9">
        <w:rPr>
          <w:rFonts w:ascii="Times New Roman" w:hAnsi="Times New Roman" w:cs="Times New Roman"/>
          <w:color w:val="212121"/>
          <w:sz w:val="18"/>
          <w:szCs w:val="18"/>
          <w:lang w:eastAsia="en-US"/>
        </w:rPr>
        <w:t>For associations with continuous variables, the Wilcoxon test was used</w:t>
      </w:r>
    </w:p>
    <w:p w14:paraId="16F8C70A" w14:textId="77777777" w:rsidR="00D65DC1" w:rsidRDefault="00D65DC1">
      <w:pPr>
        <w:rPr>
          <w:rFonts w:ascii="Times New Roman" w:hAnsi="Times New Roman" w:cs="Times New Roman"/>
          <w:b/>
          <w:sz w:val="24"/>
          <w:szCs w:val="24"/>
        </w:rPr>
      </w:pPr>
    </w:p>
    <w:p w14:paraId="60F87F9B" w14:textId="77777777" w:rsidR="00D65DC1" w:rsidRDefault="00D65DC1">
      <w:pPr>
        <w:rPr>
          <w:rFonts w:ascii="Times New Roman" w:hAnsi="Times New Roman" w:cs="Times New Roman"/>
          <w:b/>
          <w:sz w:val="24"/>
          <w:szCs w:val="24"/>
        </w:rPr>
      </w:pPr>
    </w:p>
    <w:p w14:paraId="11D7839D" w14:textId="77777777" w:rsidR="00EC2728" w:rsidRDefault="00EC2728">
      <w:pPr>
        <w:rPr>
          <w:rFonts w:ascii="Times New Roman" w:hAnsi="Times New Roman" w:cs="Times New Roman"/>
          <w:b/>
          <w:sz w:val="24"/>
          <w:szCs w:val="24"/>
        </w:rPr>
      </w:pPr>
    </w:p>
    <w:p w14:paraId="7DC11844" w14:textId="7FF82CC1" w:rsidR="00AB41AE" w:rsidRDefault="008D6024">
      <w:pPr>
        <w:rPr>
          <w:rFonts w:ascii="Times New Roman" w:hAnsi="Times New Roman" w:cs="Times New Roman"/>
          <w:sz w:val="24"/>
          <w:szCs w:val="24"/>
        </w:rPr>
      </w:pPr>
      <w:r w:rsidRPr="007D56DC">
        <w:rPr>
          <w:rFonts w:ascii="Times New Roman" w:hAnsi="Times New Roman" w:cs="Times New Roman"/>
          <w:b/>
          <w:sz w:val="24"/>
          <w:szCs w:val="24"/>
        </w:rPr>
        <w:t>Supplemental Table 3</w:t>
      </w:r>
      <w:r w:rsidR="0093489E" w:rsidRPr="007D56DC">
        <w:rPr>
          <w:rFonts w:ascii="Times New Roman" w:hAnsi="Times New Roman" w:cs="Times New Roman"/>
          <w:b/>
          <w:sz w:val="24"/>
          <w:szCs w:val="24"/>
        </w:rPr>
        <w:t>.</w:t>
      </w:r>
      <w:r w:rsidR="0093489E">
        <w:rPr>
          <w:rFonts w:ascii="Times New Roman" w:hAnsi="Times New Roman" w:cs="Times New Roman"/>
          <w:sz w:val="24"/>
          <w:szCs w:val="24"/>
        </w:rPr>
        <w:t xml:space="preserve"> </w:t>
      </w:r>
      <w:r w:rsidR="0093489E" w:rsidRPr="0093489E">
        <w:rPr>
          <w:rFonts w:ascii="Times New Roman" w:hAnsi="Times New Roman" w:cs="Times New Roman"/>
          <w:sz w:val="24"/>
          <w:szCs w:val="24"/>
        </w:rPr>
        <w:t>Th</w:t>
      </w:r>
      <w:bookmarkStart w:id="0" w:name="_GoBack"/>
      <w:bookmarkEnd w:id="0"/>
      <w:r w:rsidR="0093489E" w:rsidRPr="0093489E">
        <w:rPr>
          <w:rFonts w:ascii="Times New Roman" w:hAnsi="Times New Roman" w:cs="Times New Roman"/>
          <w:sz w:val="24"/>
          <w:szCs w:val="24"/>
        </w:rPr>
        <w:t xml:space="preserve">e Effect of Numeracy, Health Literacy and Cognitive Impairment among those hospitalized for Acute Decompensated Heart Failure (ADHF) on 30-Day Readmissions in the Vanderbilt Inpatient Cohort Study (VICS) – </w:t>
      </w:r>
      <w:r w:rsidR="0093489E" w:rsidRPr="007D56DC">
        <w:rPr>
          <w:rFonts w:ascii="Times New Roman" w:hAnsi="Times New Roman" w:cs="Times New Roman"/>
          <w:b/>
          <w:sz w:val="24"/>
          <w:szCs w:val="24"/>
        </w:rPr>
        <w:t>Expanded Table</w:t>
      </w:r>
    </w:p>
    <w:p w14:paraId="57A3DDDB" w14:textId="50535466" w:rsidR="0093489E" w:rsidRDefault="00E53E82">
      <w:r>
        <w:object w:dxaOrig="16300" w:dyaOrig="10580" w14:anchorId="3FE9851D">
          <v:shape id="_x0000_i1027" type="#_x0000_t75" style="width:700.15pt;height:454.8pt" o:ole="">
            <v:imagedata r:id="rId11" o:title=""/>
          </v:shape>
          <o:OLEObject Type="Embed" ProgID="Excel.Sheet.12" ShapeID="_x0000_i1027" DrawAspect="Content" ObjectID="_1570352740" r:id="rId12"/>
        </w:object>
      </w:r>
    </w:p>
    <w:p w14:paraId="1D3F51A0" w14:textId="77777777" w:rsidR="00D65DC1" w:rsidRPr="00753DF9" w:rsidRDefault="00D65DC1" w:rsidP="00D65DC1">
      <w:pPr>
        <w:widowControl w:val="0"/>
        <w:autoSpaceDE w:val="0"/>
        <w:autoSpaceDN w:val="0"/>
        <w:adjustRightInd w:val="0"/>
        <w:spacing w:after="0" w:line="240" w:lineRule="auto"/>
        <w:rPr>
          <w:rFonts w:ascii="Times New Roman" w:hAnsi="Times New Roman" w:cs="Times New Roman"/>
          <w:sz w:val="18"/>
          <w:szCs w:val="18"/>
        </w:rPr>
      </w:pPr>
      <w:r w:rsidRPr="00753DF9">
        <w:rPr>
          <w:rFonts w:ascii="Times New Roman" w:hAnsi="Times New Roman" w:cs="Times New Roman"/>
          <w:sz w:val="18"/>
          <w:szCs w:val="18"/>
        </w:rPr>
        <w:t>Poisson Model Estimates</w:t>
      </w:r>
      <w:r w:rsidRPr="00753DF9">
        <w:rPr>
          <w:rFonts w:ascii="MS Mincho" w:eastAsia="MS Mincho" w:hAnsi="MS Mincho" w:cs="MS Mincho"/>
          <w:sz w:val="18"/>
          <w:szCs w:val="18"/>
        </w:rPr>
        <w:t> </w:t>
      </w:r>
    </w:p>
    <w:p w14:paraId="212B15A8" w14:textId="3E1B6DD3" w:rsidR="00D65DC1" w:rsidRPr="00753DF9" w:rsidRDefault="00D65DC1" w:rsidP="00D65DC1">
      <w:pPr>
        <w:widowControl w:val="0"/>
        <w:autoSpaceDE w:val="0"/>
        <w:autoSpaceDN w:val="0"/>
        <w:adjustRightInd w:val="0"/>
        <w:spacing w:after="0" w:line="240" w:lineRule="auto"/>
        <w:rPr>
          <w:rFonts w:ascii="Times New Roman" w:hAnsi="Times New Roman" w:cs="Times New Roman"/>
          <w:sz w:val="18"/>
          <w:szCs w:val="18"/>
        </w:rPr>
      </w:pPr>
      <w:r w:rsidRPr="00753DF9">
        <w:rPr>
          <w:rFonts w:ascii="Times New Roman" w:hAnsi="Times New Roman" w:cs="Times New Roman"/>
          <w:sz w:val="18"/>
          <w:szCs w:val="18"/>
        </w:rPr>
        <w:t>Model 1</w:t>
      </w:r>
      <w:r w:rsidRPr="00753DF9">
        <w:rPr>
          <w:rFonts w:ascii="Times New Roman" w:hAnsi="Times New Roman" w:cs="Times New Roman"/>
          <w:sz w:val="18"/>
          <w:szCs w:val="18"/>
          <w:vertAlign w:val="superscript"/>
        </w:rPr>
        <w:t xml:space="preserve"> </w:t>
      </w:r>
      <w:r w:rsidRPr="00753DF9">
        <w:rPr>
          <w:rFonts w:ascii="Times New Roman" w:hAnsi="Times New Roman" w:cs="Times New Roman"/>
          <w:sz w:val="18"/>
          <w:szCs w:val="18"/>
        </w:rPr>
        <w:t>adjusts for numeracy</w:t>
      </w:r>
      <w:r>
        <w:rPr>
          <w:rFonts w:ascii="Times New Roman" w:hAnsi="Times New Roman" w:cs="Times New Roman"/>
          <w:sz w:val="18"/>
          <w:szCs w:val="18"/>
        </w:rPr>
        <w:t>, health literacy, and cognition</w:t>
      </w:r>
      <w:r w:rsidRPr="00753DF9">
        <w:rPr>
          <w:rFonts w:ascii="Times New Roman" w:hAnsi="Times New Roman" w:cs="Times New Roman"/>
          <w:sz w:val="18"/>
          <w:szCs w:val="18"/>
        </w:rPr>
        <w:t xml:space="preserve"> </w:t>
      </w:r>
    </w:p>
    <w:p w14:paraId="200ED502" w14:textId="0D9B969C" w:rsidR="00D65DC1" w:rsidRPr="00D65DC1" w:rsidRDefault="00D65DC1" w:rsidP="00D65DC1">
      <w:pPr>
        <w:spacing w:after="0" w:line="240" w:lineRule="auto"/>
        <w:rPr>
          <w:rFonts w:ascii="Times New Roman" w:hAnsi="Times New Roman" w:cs="Times New Roman"/>
          <w:sz w:val="18"/>
          <w:szCs w:val="18"/>
        </w:rPr>
      </w:pPr>
      <w:r w:rsidRPr="00753DF9">
        <w:rPr>
          <w:rFonts w:ascii="Times New Roman" w:hAnsi="Times New Roman" w:cs="Times New Roman"/>
          <w:sz w:val="18"/>
          <w:szCs w:val="18"/>
        </w:rPr>
        <w:t>Model 2</w:t>
      </w:r>
      <w:r w:rsidRPr="00753DF9">
        <w:rPr>
          <w:rFonts w:ascii="Times New Roman" w:hAnsi="Times New Roman" w:cs="Times New Roman"/>
          <w:sz w:val="18"/>
          <w:szCs w:val="18"/>
          <w:vertAlign w:val="superscript"/>
        </w:rPr>
        <w:t xml:space="preserve"> </w:t>
      </w:r>
      <w:r>
        <w:rPr>
          <w:rFonts w:ascii="Times New Roman" w:hAnsi="Times New Roman" w:cs="Times New Roman"/>
          <w:sz w:val="18"/>
          <w:szCs w:val="18"/>
        </w:rPr>
        <w:t xml:space="preserve">adjusts for Model 1 variables </w:t>
      </w:r>
      <w:r w:rsidRPr="00753DF9">
        <w:rPr>
          <w:rFonts w:ascii="Times New Roman" w:hAnsi="Times New Roman" w:cs="Times New Roman"/>
          <w:sz w:val="18"/>
          <w:szCs w:val="18"/>
        </w:rPr>
        <w:t xml:space="preserve">and </w:t>
      </w:r>
      <w:r>
        <w:rPr>
          <w:rFonts w:ascii="Times New Roman" w:hAnsi="Times New Roman" w:cs="Times New Roman"/>
          <w:sz w:val="18"/>
          <w:szCs w:val="18"/>
        </w:rPr>
        <w:t>demographics</w:t>
      </w:r>
      <w:r w:rsidRPr="00753DF9">
        <w:rPr>
          <w:rFonts w:ascii="Times New Roman" w:hAnsi="Times New Roman" w:cs="Times New Roman"/>
          <w:sz w:val="18"/>
          <w:szCs w:val="18"/>
        </w:rPr>
        <w:t xml:space="preserve"> </w:t>
      </w:r>
    </w:p>
    <w:p w14:paraId="740E6339" w14:textId="6123CE6A" w:rsidR="00D65DC1" w:rsidRDefault="00D65DC1" w:rsidP="00D65DC1">
      <w:pPr>
        <w:spacing w:after="0" w:line="240" w:lineRule="auto"/>
        <w:rPr>
          <w:rFonts w:ascii="Times New Roman" w:hAnsi="Times New Roman" w:cs="Times New Roman"/>
          <w:sz w:val="18"/>
          <w:szCs w:val="18"/>
        </w:rPr>
      </w:pPr>
      <w:r>
        <w:rPr>
          <w:rFonts w:ascii="Times New Roman" w:hAnsi="Times New Roman" w:cs="Times New Roman"/>
          <w:sz w:val="18"/>
          <w:szCs w:val="18"/>
        </w:rPr>
        <w:t>Model 3 adjusts for Model 2</w:t>
      </w:r>
      <w:r w:rsidRPr="00753DF9">
        <w:rPr>
          <w:rFonts w:ascii="Times New Roman" w:hAnsi="Times New Roman" w:cs="Times New Roman"/>
          <w:sz w:val="18"/>
          <w:szCs w:val="18"/>
        </w:rPr>
        <w:t xml:space="preserve"> variables and clinical</w:t>
      </w:r>
      <w:r>
        <w:rPr>
          <w:rFonts w:ascii="Times New Roman" w:hAnsi="Times New Roman" w:cs="Times New Roman"/>
          <w:sz w:val="18"/>
          <w:szCs w:val="18"/>
        </w:rPr>
        <w:t xml:space="preserve"> and diagnostic characteristics </w:t>
      </w:r>
    </w:p>
    <w:p w14:paraId="67017612" w14:textId="2151533A" w:rsidR="00D65DC1" w:rsidRPr="00C43095" w:rsidRDefault="00D65DC1" w:rsidP="00D65DC1">
      <w:pPr>
        <w:spacing w:after="0" w:line="240" w:lineRule="auto"/>
        <w:rPr>
          <w:rFonts w:ascii="Times New Roman" w:hAnsi="Times New Roman" w:cs="Times New Roman"/>
          <w:sz w:val="20"/>
          <w:szCs w:val="20"/>
        </w:rPr>
      </w:pPr>
      <w:r>
        <w:rPr>
          <w:rFonts w:ascii="Times New Roman" w:hAnsi="Times New Roman" w:cs="Times New Roman"/>
          <w:sz w:val="18"/>
          <w:szCs w:val="18"/>
        </w:rPr>
        <w:t>Model 4 adjusts for Model 4 variables and hospitalization characteristics</w:t>
      </w:r>
    </w:p>
    <w:p w14:paraId="3287C28C" w14:textId="77777777" w:rsidR="00D65DC1" w:rsidRDefault="00D65DC1"/>
    <w:sectPr w:rsidR="00D65DC1" w:rsidSect="00753DF9">
      <w:pgSz w:w="15840" w:h="12240" w:orient="landscape"/>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0394"/>
    <w:multiLevelType w:val="hybridMultilevel"/>
    <w:tmpl w:val="164CA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89E"/>
    <w:rsid w:val="000016A7"/>
    <w:rsid w:val="00002AA9"/>
    <w:rsid w:val="00003D23"/>
    <w:rsid w:val="000446FC"/>
    <w:rsid w:val="00077530"/>
    <w:rsid w:val="000906AA"/>
    <w:rsid w:val="000E7375"/>
    <w:rsid w:val="000F700B"/>
    <w:rsid w:val="00116D96"/>
    <w:rsid w:val="00136027"/>
    <w:rsid w:val="001B700F"/>
    <w:rsid w:val="001D040A"/>
    <w:rsid w:val="001D4D3E"/>
    <w:rsid w:val="001E5451"/>
    <w:rsid w:val="0020546C"/>
    <w:rsid w:val="00210805"/>
    <w:rsid w:val="0029452A"/>
    <w:rsid w:val="002D383D"/>
    <w:rsid w:val="0031248B"/>
    <w:rsid w:val="003309BB"/>
    <w:rsid w:val="00383E96"/>
    <w:rsid w:val="00392D98"/>
    <w:rsid w:val="003C32E4"/>
    <w:rsid w:val="004F40A0"/>
    <w:rsid w:val="005272B2"/>
    <w:rsid w:val="00543999"/>
    <w:rsid w:val="00560E17"/>
    <w:rsid w:val="005A598E"/>
    <w:rsid w:val="006016DA"/>
    <w:rsid w:val="006373FC"/>
    <w:rsid w:val="00692422"/>
    <w:rsid w:val="006A6D63"/>
    <w:rsid w:val="00780C14"/>
    <w:rsid w:val="00782EBB"/>
    <w:rsid w:val="007B55E7"/>
    <w:rsid w:val="007C6757"/>
    <w:rsid w:val="007D56DC"/>
    <w:rsid w:val="007F00F3"/>
    <w:rsid w:val="00800920"/>
    <w:rsid w:val="0088128B"/>
    <w:rsid w:val="00890D4B"/>
    <w:rsid w:val="008D6024"/>
    <w:rsid w:val="0090389D"/>
    <w:rsid w:val="0093489E"/>
    <w:rsid w:val="00941D82"/>
    <w:rsid w:val="00990371"/>
    <w:rsid w:val="009C37AE"/>
    <w:rsid w:val="00A54CE9"/>
    <w:rsid w:val="00A55563"/>
    <w:rsid w:val="00A9500F"/>
    <w:rsid w:val="00A95BB3"/>
    <w:rsid w:val="00AB41AE"/>
    <w:rsid w:val="00B443BC"/>
    <w:rsid w:val="00B478EE"/>
    <w:rsid w:val="00B623F4"/>
    <w:rsid w:val="00B83F77"/>
    <w:rsid w:val="00B84EEF"/>
    <w:rsid w:val="00B87FCC"/>
    <w:rsid w:val="00BD100E"/>
    <w:rsid w:val="00BD10D2"/>
    <w:rsid w:val="00C36AD4"/>
    <w:rsid w:val="00C47C05"/>
    <w:rsid w:val="00C5361C"/>
    <w:rsid w:val="00CA399D"/>
    <w:rsid w:val="00CA5DEB"/>
    <w:rsid w:val="00CD610F"/>
    <w:rsid w:val="00D020A5"/>
    <w:rsid w:val="00D65560"/>
    <w:rsid w:val="00D65DC1"/>
    <w:rsid w:val="00D876FE"/>
    <w:rsid w:val="00DE1308"/>
    <w:rsid w:val="00E47DCC"/>
    <w:rsid w:val="00E53E82"/>
    <w:rsid w:val="00EA1C00"/>
    <w:rsid w:val="00EB16C7"/>
    <w:rsid w:val="00EC08C1"/>
    <w:rsid w:val="00EC2728"/>
    <w:rsid w:val="00EF57C5"/>
    <w:rsid w:val="00F137E3"/>
    <w:rsid w:val="00F214E7"/>
    <w:rsid w:val="00F47EB6"/>
    <w:rsid w:val="00FB7C63"/>
    <w:rsid w:val="00FD3A86"/>
    <w:rsid w:val="00FF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64E9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489E"/>
    <w:pPr>
      <w:spacing w:after="160" w:line="259" w:lineRule="auto"/>
    </w:pPr>
    <w:rPr>
      <w:rFonts w:eastAsiaTheme="minorEastAsia"/>
      <w:sz w:val="2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89E"/>
    <w:pPr>
      <w:ind w:left="720"/>
      <w:contextualSpacing/>
    </w:pPr>
  </w:style>
  <w:style w:type="paragraph" w:styleId="NormalWeb">
    <w:name w:val="Normal (Web)"/>
    <w:basedOn w:val="Normal"/>
    <w:uiPriority w:val="99"/>
    <w:semiHidden/>
    <w:unhideWhenUsed/>
    <w:rsid w:val="007F00F3"/>
    <w:pPr>
      <w:spacing w:before="100" w:beforeAutospacing="1" w:after="100" w:afterAutospacing="1" w:line="240" w:lineRule="auto"/>
    </w:pPr>
    <w:rPr>
      <w:rFonts w:ascii="Times New Roman" w:hAnsi="Times New Roman" w:cs="Times New Roman"/>
      <w:sz w:val="24"/>
      <w:szCs w:val="24"/>
      <w:lang w:eastAsia="en-US"/>
    </w:rPr>
  </w:style>
  <w:style w:type="character" w:customStyle="1" w:styleId="s1">
    <w:name w:val="s1"/>
    <w:basedOn w:val="DefaultParagraphFont"/>
    <w:rsid w:val="007D56DC"/>
  </w:style>
  <w:style w:type="character" w:styleId="CommentReference">
    <w:name w:val="annotation reference"/>
    <w:basedOn w:val="DefaultParagraphFont"/>
    <w:uiPriority w:val="99"/>
    <w:semiHidden/>
    <w:unhideWhenUsed/>
    <w:rsid w:val="00A95BB3"/>
    <w:rPr>
      <w:sz w:val="18"/>
      <w:szCs w:val="18"/>
    </w:rPr>
  </w:style>
  <w:style w:type="paragraph" w:styleId="CommentText">
    <w:name w:val="annotation text"/>
    <w:basedOn w:val="Normal"/>
    <w:link w:val="CommentTextChar"/>
    <w:uiPriority w:val="99"/>
    <w:semiHidden/>
    <w:unhideWhenUsed/>
    <w:rsid w:val="00A95BB3"/>
    <w:pPr>
      <w:spacing w:line="240" w:lineRule="auto"/>
    </w:pPr>
    <w:rPr>
      <w:sz w:val="24"/>
      <w:szCs w:val="24"/>
    </w:rPr>
  </w:style>
  <w:style w:type="character" w:customStyle="1" w:styleId="CommentTextChar">
    <w:name w:val="Comment Text Char"/>
    <w:basedOn w:val="DefaultParagraphFont"/>
    <w:link w:val="CommentText"/>
    <w:uiPriority w:val="99"/>
    <w:semiHidden/>
    <w:rsid w:val="00A95BB3"/>
    <w:rPr>
      <w:rFonts w:eastAsiaTheme="minorEastAsia"/>
      <w:lang w:eastAsia="zh-TW"/>
    </w:rPr>
  </w:style>
  <w:style w:type="paragraph" w:styleId="CommentSubject">
    <w:name w:val="annotation subject"/>
    <w:basedOn w:val="CommentText"/>
    <w:next w:val="CommentText"/>
    <w:link w:val="CommentSubjectChar"/>
    <w:uiPriority w:val="99"/>
    <w:semiHidden/>
    <w:unhideWhenUsed/>
    <w:rsid w:val="00A95BB3"/>
    <w:rPr>
      <w:b/>
      <w:bCs/>
      <w:sz w:val="20"/>
      <w:szCs w:val="20"/>
    </w:rPr>
  </w:style>
  <w:style w:type="character" w:customStyle="1" w:styleId="CommentSubjectChar">
    <w:name w:val="Comment Subject Char"/>
    <w:basedOn w:val="CommentTextChar"/>
    <w:link w:val="CommentSubject"/>
    <w:uiPriority w:val="99"/>
    <w:semiHidden/>
    <w:rsid w:val="00A95BB3"/>
    <w:rPr>
      <w:rFonts w:eastAsiaTheme="minorEastAsia"/>
      <w:b/>
      <w:bCs/>
      <w:sz w:val="20"/>
      <w:szCs w:val="20"/>
      <w:lang w:eastAsia="zh-TW"/>
    </w:rPr>
  </w:style>
  <w:style w:type="paragraph" w:styleId="BalloonText">
    <w:name w:val="Balloon Text"/>
    <w:basedOn w:val="Normal"/>
    <w:link w:val="BalloonTextChar"/>
    <w:uiPriority w:val="99"/>
    <w:semiHidden/>
    <w:unhideWhenUsed/>
    <w:rsid w:val="00A95BB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5BB3"/>
    <w:rPr>
      <w:rFonts w:ascii="Times New Roman" w:eastAsiaTheme="minorEastAsia" w:hAnsi="Times New Roman" w:cs="Times New Roman"/>
      <w:sz w:val="18"/>
      <w:szCs w:val="18"/>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972518">
      <w:bodyDiv w:val="1"/>
      <w:marLeft w:val="0"/>
      <w:marRight w:val="0"/>
      <w:marTop w:val="0"/>
      <w:marBottom w:val="0"/>
      <w:divBdr>
        <w:top w:val="none" w:sz="0" w:space="0" w:color="auto"/>
        <w:left w:val="none" w:sz="0" w:space="0" w:color="auto"/>
        <w:bottom w:val="none" w:sz="0" w:space="0" w:color="auto"/>
        <w:right w:val="none" w:sz="0" w:space="0" w:color="auto"/>
      </w:divBdr>
    </w:div>
    <w:div w:id="904991392">
      <w:bodyDiv w:val="1"/>
      <w:marLeft w:val="0"/>
      <w:marRight w:val="0"/>
      <w:marTop w:val="0"/>
      <w:marBottom w:val="0"/>
      <w:divBdr>
        <w:top w:val="none" w:sz="0" w:space="0" w:color="auto"/>
        <w:left w:val="none" w:sz="0" w:space="0" w:color="auto"/>
        <w:bottom w:val="none" w:sz="0" w:space="0" w:color="auto"/>
        <w:right w:val="none" w:sz="0" w:space="0" w:color="auto"/>
      </w:divBdr>
    </w:div>
    <w:div w:id="17306899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package" Target="embeddings/Microsoft_Excel_Worksheet3.xlsx"/><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package" Target="embeddings/Microsoft_Excel_Worksheet1.xlsx"/><Relationship Id="rId9" Type="http://schemas.openxmlformats.org/officeDocument/2006/relationships/image" Target="media/image4.emf"/><Relationship Id="rId10"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428</Words>
  <Characters>2443</Characters>
  <Application>Microsoft Macintosh Word</Application>
  <DocSecurity>0</DocSecurity>
  <Lines>20</Lines>
  <Paragraphs>5</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Supplemental Figure 1. Correlation Matrices of Study Participants’ Numeracy, Hea</vt:lpstr>
      <vt:lpstr>/</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Supplemental 1 Figure Legend: Correlation matrices demonstrating the relationshi</vt:lpstr>
      <vt:lpstr>Supplemental Figure 2. Study Flow Diagram</vt:lpstr>
      <vt:lpstr/>
      <vt:lpstr>/</vt:lpstr>
      <vt:lpstr/>
      <vt:lpstr>Supplemental Figure 2 Legend: ACS: Acute Coronary Syndrome; ADHF: Acute Decompen</vt:lpstr>
    </vt:vector>
  </TitlesOfParts>
  <LinksUpToDate>false</LinksUpToDate>
  <CharactersWithSpaces>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Sterling</dc:creator>
  <cp:keywords/>
  <dc:description/>
  <cp:lastModifiedBy>Madeline Sterling</cp:lastModifiedBy>
  <cp:revision>4</cp:revision>
  <dcterms:created xsi:type="dcterms:W3CDTF">2017-10-17T19:31:00Z</dcterms:created>
  <dcterms:modified xsi:type="dcterms:W3CDTF">2017-10-24T22:17:00Z</dcterms:modified>
</cp:coreProperties>
</file>