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E9" w:rsidRPr="00FA7181" w:rsidRDefault="004523E9" w:rsidP="004523E9">
      <w:pPr>
        <w:spacing w:after="0" w:line="240" w:lineRule="auto"/>
        <w:rPr>
          <w:rFonts w:ascii="Arial" w:eastAsia="MS Mincho" w:hAnsi="Arial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MS Mincho" w:hAnsi="Arial" w:cs="Times New Roman"/>
          <w:b/>
          <w:bCs/>
          <w:sz w:val="24"/>
          <w:szCs w:val="24"/>
        </w:rPr>
        <w:t xml:space="preserve">Appendix Table </w:t>
      </w:r>
      <w:r w:rsidRPr="00FA7181">
        <w:rPr>
          <w:rFonts w:ascii="Arial" w:eastAsia="MS Mincho" w:hAnsi="Arial" w:cs="Times New Roman"/>
          <w:b/>
          <w:bCs/>
          <w:sz w:val="24"/>
          <w:szCs w:val="24"/>
        </w:rPr>
        <w:t>1: Measure of Occupancy Terms Defined</w:t>
      </w:r>
    </w:p>
    <w:p w:rsidR="004523E9" w:rsidRPr="00FA7181" w:rsidRDefault="004523E9" w:rsidP="004523E9">
      <w:pPr>
        <w:spacing w:after="0" w:line="240" w:lineRule="auto"/>
        <w:rPr>
          <w:rFonts w:ascii="Arial" w:eastAsia="MS Mincho" w:hAnsi="Arial" w:cs="Times New Roman"/>
          <w:b/>
          <w:bCs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  <w:b/>
              </w:rPr>
            </w:pPr>
            <w:r w:rsidRPr="00FA7181">
              <w:rPr>
                <w:rFonts w:ascii="Arial" w:hAnsi="Arial" w:cs="Times New Roman"/>
                <w:b/>
              </w:rPr>
              <w:t>Term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  <w:b/>
              </w:rPr>
            </w:pPr>
            <w:r w:rsidRPr="00FA7181">
              <w:rPr>
                <w:rFonts w:ascii="Arial" w:hAnsi="Arial" w:cs="Times New Roman"/>
                <w:b/>
              </w:rPr>
              <w:t>Definition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Hospital </w:t>
            </w:r>
            <w:r>
              <w:rPr>
                <w:rFonts w:ascii="Arial" w:hAnsi="Arial" w:cs="Times New Roman"/>
              </w:rPr>
              <w:t>l</w:t>
            </w:r>
            <w:r w:rsidRPr="00FA7181">
              <w:rPr>
                <w:rFonts w:ascii="Arial" w:hAnsi="Arial" w:cs="Times New Roman"/>
              </w:rPr>
              <w:t xml:space="preserve">ength of </w:t>
            </w:r>
            <w:r>
              <w:rPr>
                <w:rFonts w:ascii="Arial" w:hAnsi="Arial" w:cs="Times New Roman"/>
              </w:rPr>
              <w:t>s</w:t>
            </w:r>
            <w:r w:rsidRPr="00FA7181">
              <w:rPr>
                <w:rFonts w:ascii="Arial" w:hAnsi="Arial" w:cs="Times New Roman"/>
              </w:rPr>
              <w:t>tay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>Number of days a patient was in the hospital from admission day to discharge day (or death)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Daily </w:t>
            </w:r>
            <w:r>
              <w:rPr>
                <w:rFonts w:ascii="Arial" w:hAnsi="Arial" w:cs="Times New Roman"/>
              </w:rPr>
              <w:t>c</w:t>
            </w:r>
            <w:r w:rsidRPr="00FA7181">
              <w:rPr>
                <w:rFonts w:ascii="Arial" w:hAnsi="Arial" w:cs="Times New Roman"/>
              </w:rPr>
              <w:t>ensus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Number of patients </w:t>
            </w:r>
            <w:r>
              <w:rPr>
                <w:rFonts w:ascii="Arial" w:hAnsi="Arial" w:cs="Times New Roman"/>
              </w:rPr>
              <w:t xml:space="preserve">hospitalized in each hospital </w:t>
            </w:r>
            <w:r w:rsidRPr="00FA7181">
              <w:rPr>
                <w:rFonts w:ascii="Arial" w:hAnsi="Arial" w:cs="Times New Roman"/>
              </w:rPr>
              <w:t>on a given census day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Maximum </w:t>
            </w:r>
            <w:r>
              <w:rPr>
                <w:rFonts w:ascii="Arial" w:hAnsi="Arial" w:cs="Times New Roman"/>
              </w:rPr>
              <w:t>d</w:t>
            </w:r>
            <w:r w:rsidRPr="00FA7181">
              <w:rPr>
                <w:rFonts w:ascii="Arial" w:hAnsi="Arial" w:cs="Times New Roman"/>
              </w:rPr>
              <w:t xml:space="preserve">aily </w:t>
            </w:r>
            <w:r>
              <w:rPr>
                <w:rFonts w:ascii="Arial" w:hAnsi="Arial" w:cs="Times New Roman"/>
              </w:rPr>
              <w:t>c</w:t>
            </w:r>
            <w:r w:rsidRPr="00FA7181">
              <w:rPr>
                <w:rFonts w:ascii="Arial" w:hAnsi="Arial" w:cs="Times New Roman"/>
              </w:rPr>
              <w:t>ensus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The largest inpatient count recorded for a hospital within the 121-day window (+/- 60 days) </w:t>
            </w:r>
            <w:r>
              <w:rPr>
                <w:rFonts w:ascii="Arial" w:hAnsi="Arial" w:cs="Times New Roman"/>
              </w:rPr>
              <w:t>around</w:t>
            </w:r>
            <w:r w:rsidRPr="00FA7181">
              <w:rPr>
                <w:rFonts w:ascii="Arial" w:hAnsi="Arial" w:cs="Times New Roman"/>
              </w:rPr>
              <w:t xml:space="preserve"> each census day</w:t>
            </w:r>
            <w:r>
              <w:rPr>
                <w:rFonts w:ascii="Arial" w:hAnsi="Arial" w:cs="Times New Roman"/>
              </w:rPr>
              <w:t>; this value was used as a representation of each hospital’s bed capacity.</w:t>
            </w:r>
            <w:r w:rsidRPr="00FA7181">
              <w:rPr>
                <w:rFonts w:ascii="Arial" w:hAnsi="Arial" w:cs="Times New Roman"/>
              </w:rPr>
              <w:t xml:space="preserve"> 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Raw </w:t>
            </w:r>
            <w:r>
              <w:rPr>
                <w:rFonts w:ascii="Arial" w:hAnsi="Arial" w:cs="Times New Roman"/>
              </w:rPr>
              <w:t>h</w:t>
            </w:r>
            <w:r w:rsidRPr="00FA7181">
              <w:rPr>
                <w:rFonts w:ascii="Arial" w:hAnsi="Arial" w:cs="Times New Roman"/>
              </w:rPr>
              <w:t>ospital-</w:t>
            </w:r>
            <w:r>
              <w:rPr>
                <w:rFonts w:ascii="Arial" w:hAnsi="Arial" w:cs="Times New Roman"/>
              </w:rPr>
              <w:t>s</w:t>
            </w:r>
            <w:r w:rsidRPr="00FA7181">
              <w:rPr>
                <w:rFonts w:ascii="Arial" w:hAnsi="Arial" w:cs="Times New Roman"/>
              </w:rPr>
              <w:t xml:space="preserve">pecific </w:t>
            </w:r>
            <w:r>
              <w:rPr>
                <w:rFonts w:ascii="Arial" w:hAnsi="Arial" w:cs="Times New Roman"/>
              </w:rPr>
              <w:t>o</w:t>
            </w:r>
            <w:r w:rsidRPr="00FA7181">
              <w:rPr>
                <w:rFonts w:ascii="Arial" w:hAnsi="Arial" w:cs="Times New Roman"/>
              </w:rPr>
              <w:t>ccupancy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  <w:b/>
              </w:rPr>
            </w:pPr>
            <w:r w:rsidRPr="00333E35">
              <w:rPr>
                <w:rFonts w:ascii="Arial" w:hAnsi="Arial" w:cs="Arial"/>
              </w:rPr>
              <w:t>Daily census</w:t>
            </w:r>
            <w:r w:rsidRPr="00FA7181">
              <w:rPr>
                <w:rFonts w:ascii="Arial" w:hAnsi="Arial" w:cs="Arial"/>
              </w:rPr>
              <w:t xml:space="preserve"> divided by the </w:t>
            </w:r>
            <w:r w:rsidRPr="00C6174B">
              <w:rPr>
                <w:rFonts w:ascii="Arial" w:hAnsi="Arial" w:cs="Arial"/>
              </w:rPr>
              <w:t>M</w:t>
            </w:r>
            <w:r w:rsidRPr="00333E35">
              <w:rPr>
                <w:rFonts w:ascii="Arial" w:hAnsi="Arial" w:cs="Arial"/>
              </w:rPr>
              <w:t>aximum daily census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Relative </w:t>
            </w:r>
            <w:r>
              <w:rPr>
                <w:rFonts w:ascii="Arial" w:hAnsi="Arial" w:cs="Times New Roman"/>
              </w:rPr>
              <w:t>o</w:t>
            </w:r>
            <w:r w:rsidRPr="00FA7181">
              <w:rPr>
                <w:rFonts w:ascii="Arial" w:hAnsi="Arial" w:cs="Times New Roman"/>
              </w:rPr>
              <w:t>ccupancy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tabs>
                <w:tab w:val="left" w:pos="427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percentile of the Raw hospital-specific occupancy within the 121-day window.</w:t>
            </w:r>
            <w:r w:rsidRPr="00FA7181" w:rsidDel="00333E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FA7181">
              <w:rPr>
                <w:rFonts w:ascii="Arial" w:hAnsi="Arial" w:cs="Arial"/>
              </w:rPr>
              <w:t>For example, if a day was exactly at the median level of occupancy within the 121-day period, the</w:t>
            </w:r>
            <w:r>
              <w:rPr>
                <w:rFonts w:ascii="Arial" w:hAnsi="Arial" w:cs="Arial"/>
              </w:rPr>
              <w:t xml:space="preserve"> relative </w:t>
            </w:r>
            <w:r w:rsidRPr="00FA7181">
              <w:rPr>
                <w:rFonts w:ascii="Arial" w:hAnsi="Arial" w:cs="Arial"/>
              </w:rPr>
              <w:t xml:space="preserve">occupancy would be 0.5; similarly, if a day were the minimum or maximum, the </w:t>
            </w:r>
            <w:r>
              <w:rPr>
                <w:rFonts w:ascii="Arial" w:hAnsi="Arial" w:cs="Arial"/>
              </w:rPr>
              <w:t xml:space="preserve">Relative </w:t>
            </w:r>
            <w:r w:rsidRPr="00FA7181">
              <w:rPr>
                <w:rFonts w:ascii="Arial" w:hAnsi="Arial" w:cs="Arial"/>
              </w:rPr>
              <w:t>occupancy would be 0 or 1, respectively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Admission day o</w:t>
            </w:r>
            <w:r w:rsidRPr="00FA7181">
              <w:rPr>
                <w:rFonts w:ascii="Arial" w:hAnsi="Arial" w:cs="Times New Roman"/>
              </w:rPr>
              <w:t>ccupancy (percentile)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The </w:t>
            </w:r>
            <w:r w:rsidRPr="00FA7181">
              <w:rPr>
                <w:rFonts w:ascii="Arial" w:hAnsi="Arial" w:cs="Times New Roman"/>
              </w:rPr>
              <w:t>patient</w:t>
            </w:r>
            <w:r>
              <w:rPr>
                <w:rFonts w:ascii="Arial" w:hAnsi="Arial" w:cs="Times New Roman"/>
              </w:rPr>
              <w:t>-</w:t>
            </w:r>
            <w:r w:rsidRPr="00FA7181">
              <w:rPr>
                <w:rFonts w:ascii="Arial" w:hAnsi="Arial" w:cs="Times New Roman"/>
              </w:rPr>
              <w:t xml:space="preserve">level </w:t>
            </w:r>
            <w:r>
              <w:rPr>
                <w:rFonts w:ascii="Arial" w:hAnsi="Arial" w:cs="Times New Roman"/>
              </w:rPr>
              <w:t xml:space="preserve">relative </w:t>
            </w:r>
            <w:r w:rsidRPr="00FA7181">
              <w:rPr>
                <w:rFonts w:ascii="Arial" w:hAnsi="Arial" w:cs="Times New Roman"/>
              </w:rPr>
              <w:t xml:space="preserve">occupancy on the day of a patient’s admission. 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 xml:space="preserve">Average </w:t>
            </w:r>
            <w:r>
              <w:rPr>
                <w:rFonts w:ascii="Arial" w:hAnsi="Arial" w:cs="Times New Roman"/>
              </w:rPr>
              <w:t>o</w:t>
            </w:r>
            <w:r w:rsidRPr="00FA7181">
              <w:rPr>
                <w:rFonts w:ascii="Arial" w:hAnsi="Arial" w:cs="Times New Roman"/>
              </w:rPr>
              <w:t>ccupancy (percentile)</w:t>
            </w: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 xml:space="preserve">The </w:t>
            </w:r>
            <w:r w:rsidRPr="00FA7181">
              <w:rPr>
                <w:rFonts w:ascii="Arial" w:hAnsi="Arial" w:cs="Times New Roman"/>
              </w:rPr>
              <w:t>patient</w:t>
            </w:r>
            <w:r>
              <w:rPr>
                <w:rFonts w:ascii="Arial" w:hAnsi="Arial" w:cs="Times New Roman"/>
              </w:rPr>
              <w:t>-</w:t>
            </w:r>
            <w:r w:rsidRPr="00FA7181">
              <w:rPr>
                <w:rFonts w:ascii="Arial" w:hAnsi="Arial" w:cs="Times New Roman"/>
              </w:rPr>
              <w:t xml:space="preserve">level </w:t>
            </w:r>
            <w:r>
              <w:rPr>
                <w:rFonts w:ascii="Arial" w:hAnsi="Arial" w:cs="Times New Roman"/>
              </w:rPr>
              <w:t xml:space="preserve">mean Relative </w:t>
            </w:r>
            <w:r w:rsidRPr="00FA7181">
              <w:rPr>
                <w:rFonts w:ascii="Arial" w:hAnsi="Arial" w:cs="Times New Roman"/>
              </w:rPr>
              <w:t xml:space="preserve">occupancy during the course of a patient’s hospitalization </w:t>
            </w:r>
          </w:p>
        </w:tc>
      </w:tr>
      <w:tr w:rsidR="004523E9" w:rsidRPr="00FA7181" w:rsidTr="00AC3920"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 w:rsidRPr="00FA7181">
              <w:rPr>
                <w:rFonts w:ascii="Arial" w:hAnsi="Arial" w:cs="Times New Roman"/>
              </w:rPr>
              <w:t>Average percent occupied</w:t>
            </w:r>
          </w:p>
          <w:p w:rsidR="004523E9" w:rsidRPr="00FA7181" w:rsidRDefault="004523E9" w:rsidP="00AC3920">
            <w:pPr>
              <w:tabs>
                <w:tab w:val="left" w:pos="1290"/>
              </w:tabs>
              <w:rPr>
                <w:rFonts w:ascii="Arial" w:hAnsi="Arial" w:cs="Times New Roman"/>
              </w:rPr>
            </w:pPr>
          </w:p>
        </w:tc>
        <w:tc>
          <w:tcPr>
            <w:tcW w:w="4675" w:type="dxa"/>
          </w:tcPr>
          <w:p w:rsidR="004523E9" w:rsidRPr="00FA7181" w:rsidRDefault="004523E9" w:rsidP="00AC3920">
            <w:pPr>
              <w:rPr>
                <w:rFonts w:ascii="Arial" w:hAnsi="Arial" w:cs="Times New Roman"/>
              </w:rPr>
            </w:pPr>
            <w:r>
              <w:rPr>
                <w:rFonts w:ascii="Arial" w:hAnsi="Arial" w:cs="Times New Roman"/>
              </w:rPr>
              <w:t>The summary mean of D</w:t>
            </w:r>
            <w:r w:rsidRPr="00FA7181">
              <w:rPr>
                <w:rFonts w:ascii="Arial" w:hAnsi="Arial" w:cs="Times New Roman"/>
              </w:rPr>
              <w:t xml:space="preserve">aily census </w:t>
            </w:r>
            <w:r>
              <w:rPr>
                <w:rFonts w:ascii="Arial" w:hAnsi="Arial" w:cs="Times New Roman"/>
              </w:rPr>
              <w:t xml:space="preserve">divided </w:t>
            </w:r>
            <w:r w:rsidRPr="00FA7181">
              <w:rPr>
                <w:rFonts w:ascii="Arial" w:hAnsi="Arial" w:cs="Times New Roman"/>
              </w:rPr>
              <w:t xml:space="preserve">by </w:t>
            </w:r>
            <w:r>
              <w:rPr>
                <w:rFonts w:ascii="Arial" w:hAnsi="Arial" w:cs="Times New Roman"/>
              </w:rPr>
              <w:t>M</w:t>
            </w:r>
            <w:r w:rsidRPr="00FA7181">
              <w:rPr>
                <w:rFonts w:ascii="Arial" w:hAnsi="Arial" w:cs="Times New Roman"/>
              </w:rPr>
              <w:t>aximum census in each 121-day window for each facility.  Th</w:t>
            </w:r>
            <w:r>
              <w:rPr>
                <w:rFonts w:ascii="Arial" w:hAnsi="Arial" w:cs="Times New Roman"/>
              </w:rPr>
              <w:t>is value, which captures th</w:t>
            </w:r>
            <w:r w:rsidRPr="00FA7181">
              <w:rPr>
                <w:rFonts w:ascii="Arial" w:hAnsi="Arial" w:cs="Times New Roman"/>
              </w:rPr>
              <w:t>e average across the whole study period</w:t>
            </w:r>
            <w:r>
              <w:rPr>
                <w:rFonts w:ascii="Arial" w:hAnsi="Arial" w:cs="Times New Roman"/>
              </w:rPr>
              <w:t>,</w:t>
            </w:r>
            <w:r w:rsidRPr="00FA7181">
              <w:rPr>
                <w:rFonts w:ascii="Arial" w:hAnsi="Arial" w:cs="Times New Roman"/>
              </w:rPr>
              <w:t xml:space="preserve"> </w:t>
            </w:r>
            <w:r>
              <w:rPr>
                <w:rFonts w:ascii="Arial" w:hAnsi="Arial" w:cs="Times New Roman"/>
              </w:rPr>
              <w:t>is</w:t>
            </w:r>
            <w:r w:rsidRPr="00FA7181">
              <w:rPr>
                <w:rFonts w:ascii="Arial" w:hAnsi="Arial" w:cs="Times New Roman"/>
              </w:rPr>
              <w:t xml:space="preserve"> used to distinguish chronically crowded vs. not</w:t>
            </w:r>
            <w:r>
              <w:rPr>
                <w:rFonts w:ascii="Arial" w:hAnsi="Arial" w:cs="Times New Roman"/>
              </w:rPr>
              <w:t xml:space="preserve"> crowded</w:t>
            </w:r>
            <w:r w:rsidRPr="00FA7181">
              <w:rPr>
                <w:rFonts w:ascii="Arial" w:hAnsi="Arial" w:cs="Times New Roman"/>
              </w:rPr>
              <w:t xml:space="preserve"> facilities.</w:t>
            </w:r>
          </w:p>
        </w:tc>
      </w:tr>
    </w:tbl>
    <w:p w:rsidR="004523E9" w:rsidRDefault="004523E9" w:rsidP="004523E9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  <w:sectPr w:rsidR="004523E9" w:rsidSect="00806F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A7181">
        <w:rPr>
          <w:rFonts w:ascii="Arial" w:eastAsia="MS Mincho" w:hAnsi="Arial" w:cs="Arial"/>
          <w:b/>
          <w:sz w:val="24"/>
          <w:szCs w:val="24"/>
        </w:rPr>
        <w:br w:type="page"/>
      </w:r>
    </w:p>
    <w:p w:rsidR="004523E9" w:rsidRDefault="004523E9"/>
    <w:tbl>
      <w:tblPr>
        <w:tblStyle w:val="TableGrid1"/>
        <w:tblpPr w:leftFromText="180" w:rightFromText="180" w:vertAnchor="page" w:horzAnchor="margin" w:tblpY="1906"/>
        <w:tblW w:w="0" w:type="auto"/>
        <w:tblLook w:val="04A0" w:firstRow="1" w:lastRow="0" w:firstColumn="1" w:lastColumn="0" w:noHBand="0" w:noVBand="1"/>
      </w:tblPr>
      <w:tblGrid>
        <w:gridCol w:w="3025"/>
        <w:gridCol w:w="2355"/>
        <w:gridCol w:w="2228"/>
        <w:gridCol w:w="1752"/>
      </w:tblGrid>
      <w:tr w:rsidR="00E026B5" w:rsidRPr="005D225C" w:rsidTr="00326FBF">
        <w:trPr>
          <w:cantSplit/>
          <w:trHeight w:val="290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</w:rPr>
              <w:t>Appendix Table</w:t>
            </w:r>
            <w:r w:rsidR="004523E9">
              <w:rPr>
                <w:rFonts w:ascii="Arial" w:hAnsi="Arial" w:cs="Arial"/>
                <w:b/>
              </w:rPr>
              <w:t xml:space="preserve"> 2</w:t>
            </w:r>
            <w:r>
              <w:rPr>
                <w:rFonts w:ascii="Arial" w:hAnsi="Arial" w:cs="Arial"/>
                <w:b/>
              </w:rPr>
              <w:t>: Patient Demographics and Hospital Characteristics</w:t>
            </w:r>
          </w:p>
        </w:tc>
      </w:tr>
      <w:tr w:rsidR="00E026B5" w:rsidRPr="005D225C" w:rsidTr="00326FBF">
        <w:trPr>
          <w:cantSplit/>
          <w:tblHeader/>
        </w:trPr>
        <w:tc>
          <w:tcPr>
            <w:tcW w:w="30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  <w:i/>
              </w:rPr>
            </w:pPr>
            <w:r w:rsidRPr="005D225C">
              <w:rPr>
                <w:rFonts w:ascii="Arial" w:hAnsi="Arial" w:cs="Arial"/>
                <w:b/>
                <w:i/>
              </w:rPr>
              <w:t>Patient Characteristic</w:t>
            </w:r>
          </w:p>
        </w:tc>
        <w:tc>
          <w:tcPr>
            <w:tcW w:w="2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  <w:i/>
              </w:rPr>
            </w:pPr>
            <w:r w:rsidRPr="005D225C">
              <w:rPr>
                <w:rFonts w:ascii="Arial" w:hAnsi="Arial" w:cs="Arial"/>
                <w:b/>
                <w:i/>
              </w:rPr>
              <w:t>C</w:t>
            </w:r>
            <w:r>
              <w:rPr>
                <w:rFonts w:ascii="Arial" w:hAnsi="Arial" w:cs="Arial"/>
                <w:b/>
                <w:i/>
              </w:rPr>
              <w:t>DI</w:t>
            </w:r>
          </w:p>
        </w:tc>
        <w:tc>
          <w:tcPr>
            <w:tcW w:w="2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5D225C">
              <w:rPr>
                <w:rFonts w:ascii="Arial" w:hAnsi="Arial" w:cs="Arial"/>
                <w:b/>
                <w:i/>
                <w:color w:val="000000"/>
              </w:rPr>
              <w:t>No C</w:t>
            </w:r>
            <w:r>
              <w:rPr>
                <w:rFonts w:ascii="Arial" w:hAnsi="Arial" w:cs="Arial"/>
                <w:b/>
                <w:i/>
                <w:color w:val="000000"/>
              </w:rPr>
              <w:t>DI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  <w:i/>
              </w:rPr>
            </w:pPr>
            <w:r w:rsidRPr="005D225C">
              <w:rPr>
                <w:rFonts w:ascii="Arial" w:hAnsi="Arial" w:cs="Arial"/>
                <w:b/>
                <w:i/>
              </w:rPr>
              <w:t>P-Value</w:t>
            </w:r>
          </w:p>
        </w:tc>
      </w:tr>
      <w:tr w:rsidR="00E026B5" w:rsidRPr="005D225C" w:rsidTr="00326FBF">
        <w:trPr>
          <w:trHeight w:val="380"/>
          <w:tblHeader/>
        </w:trPr>
        <w:tc>
          <w:tcPr>
            <w:tcW w:w="3025" w:type="dxa"/>
            <w:tcBorders>
              <w:top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  <w:r w:rsidRPr="005D225C">
              <w:rPr>
                <w:rFonts w:ascii="Arial" w:hAnsi="Arial" w:cs="Arial"/>
                <w:b/>
                <w:bCs/>
                <w:color w:val="000000"/>
                <w:kern w:val="24"/>
              </w:rPr>
              <w:t>Age (years), n (%)</w:t>
            </w:r>
          </w:p>
        </w:tc>
        <w:tc>
          <w:tcPr>
            <w:tcW w:w="2355" w:type="dxa"/>
            <w:tcBorders>
              <w:top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</w:p>
        </w:tc>
        <w:tc>
          <w:tcPr>
            <w:tcW w:w="2228" w:type="dxa"/>
            <w:tcBorders>
              <w:top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tcBorders>
              <w:top w:val="single" w:sz="4" w:space="0" w:color="auto"/>
            </w:tcBorders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 xml:space="preserve">    65-69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227 (11.1)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70,</w:t>
            </w:r>
            <w:r w:rsidR="00634494">
              <w:rPr>
                <w:rFonts w:ascii="Arial" w:hAnsi="Arial" w:cs="Arial"/>
                <w:color w:val="000000"/>
              </w:rPr>
              <w:t>261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(12.6)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0.036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 xml:space="preserve">    70-74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289 (14.1)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82,</w:t>
            </w:r>
            <w:r w:rsidR="00634494" w:rsidRPr="005D225C">
              <w:rPr>
                <w:rFonts w:ascii="Arial" w:hAnsi="Arial" w:cs="Arial"/>
                <w:color w:val="000000"/>
              </w:rPr>
              <w:t>6</w:t>
            </w:r>
            <w:r w:rsidR="00634494">
              <w:rPr>
                <w:rFonts w:ascii="Arial" w:hAnsi="Arial" w:cs="Arial"/>
                <w:color w:val="000000"/>
              </w:rPr>
              <w:t>76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(14.</w:t>
            </w:r>
            <w:r w:rsidR="00634494">
              <w:rPr>
                <w:rFonts w:ascii="Arial" w:hAnsi="Arial" w:cs="Arial"/>
                <w:color w:val="000000"/>
              </w:rPr>
              <w:t>8</w:t>
            </w:r>
            <w:r w:rsidRPr="005D225C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 xml:space="preserve">    75-79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407 (19.9)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98,</w:t>
            </w:r>
            <w:r w:rsidR="00634494">
              <w:rPr>
                <w:rFonts w:ascii="Arial" w:hAnsi="Arial" w:cs="Arial"/>
                <w:color w:val="000000"/>
              </w:rPr>
              <w:t>920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(17.8)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 xml:space="preserve">    80-84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410 (20.</w:t>
            </w:r>
            <w:r w:rsidR="00634494">
              <w:rPr>
                <w:rFonts w:ascii="Arial" w:hAnsi="Arial" w:cs="Arial"/>
              </w:rPr>
              <w:t>0</w:t>
            </w:r>
            <w:r w:rsidRPr="005D225C">
              <w:rPr>
                <w:rFonts w:ascii="Arial" w:hAnsi="Arial" w:cs="Arial"/>
              </w:rPr>
              <w:t>)</w:t>
            </w:r>
          </w:p>
        </w:tc>
        <w:tc>
          <w:tcPr>
            <w:tcW w:w="2228" w:type="dxa"/>
            <w:vAlign w:val="center"/>
          </w:tcPr>
          <w:p w:rsidR="00E026B5" w:rsidRPr="005D225C" w:rsidRDefault="00634494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5</w:t>
            </w:r>
            <w:r w:rsidR="00E026B5" w:rsidRPr="005D225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014</w:t>
            </w:r>
            <w:r w:rsidR="00E026B5" w:rsidRPr="005D225C">
              <w:rPr>
                <w:rFonts w:ascii="Arial" w:hAnsi="Arial" w:cs="Arial"/>
                <w:color w:val="000000"/>
              </w:rPr>
              <w:t>(20.7)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 xml:space="preserve">    85+</w:t>
            </w:r>
          </w:p>
        </w:tc>
        <w:tc>
          <w:tcPr>
            <w:tcW w:w="2355" w:type="dxa"/>
            <w:vAlign w:val="center"/>
          </w:tcPr>
          <w:p w:rsidR="00E026B5" w:rsidRPr="005D225C" w:rsidRDefault="00634494" w:rsidP="00634494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71</w:t>
            </w:r>
            <w:r>
              <w:rPr>
                <w:rFonts w:ascii="Arial" w:hAnsi="Arial" w:cs="Arial"/>
              </w:rPr>
              <w:t>2</w:t>
            </w:r>
            <w:r w:rsidR="00E026B5" w:rsidRPr="005D225C">
              <w:rPr>
                <w:rFonts w:ascii="Arial" w:hAnsi="Arial" w:cs="Arial"/>
              </w:rPr>
              <w:t>(34.8)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189,</w:t>
            </w:r>
            <w:r w:rsidR="00634494">
              <w:rPr>
                <w:rFonts w:ascii="Arial" w:hAnsi="Arial" w:cs="Arial"/>
                <w:color w:val="000000"/>
              </w:rPr>
              <w:t>913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(34.1)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</w:rPr>
            </w:pPr>
            <w:r w:rsidRPr="005D225C"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  <w:t>Female, n (%)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1,099 (53.</w:t>
            </w:r>
            <w:r w:rsidR="00634494">
              <w:rPr>
                <w:rFonts w:ascii="Arial" w:hAnsi="Arial" w:cs="Arial"/>
              </w:rPr>
              <w:t>7</w:t>
            </w:r>
            <w:r w:rsidRPr="005D225C">
              <w:rPr>
                <w:rFonts w:ascii="Arial" w:hAnsi="Arial" w:cs="Arial"/>
              </w:rPr>
              <w:t>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291,</w:t>
            </w:r>
            <w:r w:rsidR="00634494">
              <w:rPr>
                <w:rFonts w:ascii="Arial" w:hAnsi="Arial" w:cs="Arial"/>
                <w:color w:val="000000"/>
              </w:rPr>
              <w:t xml:space="preserve">712 </w:t>
            </w:r>
            <w:r w:rsidRPr="005D225C">
              <w:rPr>
                <w:rFonts w:ascii="Arial" w:hAnsi="Arial" w:cs="Arial"/>
                <w:color w:val="000000"/>
              </w:rPr>
              <w:t>(52.4)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634494">
              <w:rPr>
                <w:rFonts w:ascii="Arial" w:hAnsi="Arial" w:cs="Arial"/>
              </w:rPr>
              <w:t>223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  <w:t>Race</w:t>
            </w:r>
            <w:r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  <w:t>/Ethnicity</w:t>
            </w:r>
            <w:r w:rsidRPr="005D225C"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  <w:t>, n (%)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ind w:left="270"/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>Non-Hispanic White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1,323 (64.7)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364,</w:t>
            </w:r>
            <w:r w:rsidR="00634494">
              <w:rPr>
                <w:rFonts w:ascii="Arial" w:hAnsi="Arial" w:cs="Arial"/>
                <w:color w:val="000000"/>
              </w:rPr>
              <w:t>536</w:t>
            </w:r>
            <w:r w:rsidRPr="005D225C">
              <w:rPr>
                <w:rFonts w:ascii="Arial" w:hAnsi="Arial" w:cs="Arial"/>
                <w:color w:val="000000"/>
              </w:rPr>
              <w:t xml:space="preserve"> (65.5)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0D2153">
              <w:rPr>
                <w:rFonts w:ascii="Arial" w:hAnsi="Arial" w:cs="Arial"/>
              </w:rPr>
              <w:t>645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ind w:left="270"/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>Non-Hispanic Black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128 (6.3)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36,</w:t>
            </w:r>
            <w:r w:rsidR="00634494" w:rsidRPr="005D225C">
              <w:rPr>
                <w:rFonts w:ascii="Arial" w:hAnsi="Arial" w:cs="Arial"/>
                <w:color w:val="000000"/>
              </w:rPr>
              <w:t>7</w:t>
            </w:r>
            <w:r w:rsidR="00634494">
              <w:rPr>
                <w:rFonts w:ascii="Arial" w:hAnsi="Arial" w:cs="Arial"/>
                <w:color w:val="000000"/>
              </w:rPr>
              <w:t>6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9 </w:t>
            </w:r>
            <w:r w:rsidRPr="005D225C">
              <w:rPr>
                <w:rFonts w:ascii="Arial" w:hAnsi="Arial" w:cs="Arial"/>
                <w:color w:val="000000"/>
              </w:rPr>
              <w:t>(6.6)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ind w:left="270"/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>Non-Hispanic Asian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195 (9.5)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48,</w:t>
            </w:r>
            <w:r w:rsidR="00634494" w:rsidRPr="005D225C">
              <w:rPr>
                <w:rFonts w:ascii="Arial" w:hAnsi="Arial" w:cs="Arial"/>
                <w:color w:val="000000"/>
              </w:rPr>
              <w:t>3</w:t>
            </w:r>
            <w:r w:rsidR="00634494">
              <w:rPr>
                <w:rFonts w:ascii="Arial" w:hAnsi="Arial" w:cs="Arial"/>
                <w:color w:val="000000"/>
              </w:rPr>
              <w:t>68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(8.7)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ind w:left="270"/>
              <w:rPr>
                <w:rFonts w:ascii="Arial" w:hAnsi="Arial" w:cs="Arial"/>
                <w:b/>
                <w:bCs/>
                <w:color w:val="000000"/>
                <w:kern w:val="24"/>
                <w:lang w:val="fi-FI"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>Hispanic</w:t>
            </w:r>
          </w:p>
        </w:tc>
        <w:tc>
          <w:tcPr>
            <w:tcW w:w="2355" w:type="dxa"/>
            <w:vAlign w:val="center"/>
          </w:tcPr>
          <w:p w:rsidR="00E026B5" w:rsidRPr="005D225C" w:rsidRDefault="00634494" w:rsidP="00634494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33</w:t>
            </w:r>
            <w:r>
              <w:rPr>
                <w:rFonts w:ascii="Arial" w:hAnsi="Arial" w:cs="Arial"/>
              </w:rPr>
              <w:t>2</w:t>
            </w:r>
            <w:r w:rsidRPr="005D225C">
              <w:rPr>
                <w:rFonts w:ascii="Arial" w:hAnsi="Arial" w:cs="Arial"/>
              </w:rPr>
              <w:t xml:space="preserve"> </w:t>
            </w:r>
            <w:r w:rsidR="00E026B5" w:rsidRPr="005D225C">
              <w:rPr>
                <w:rFonts w:ascii="Arial" w:hAnsi="Arial" w:cs="Arial"/>
              </w:rPr>
              <w:t>(16.2)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89,9</w:t>
            </w:r>
            <w:r w:rsidR="00634494">
              <w:rPr>
                <w:rFonts w:ascii="Arial" w:hAnsi="Arial" w:cs="Arial"/>
                <w:color w:val="000000"/>
              </w:rPr>
              <w:t>50</w:t>
            </w:r>
            <w:r w:rsidRPr="005D225C">
              <w:rPr>
                <w:rFonts w:ascii="Arial" w:hAnsi="Arial" w:cs="Arial"/>
                <w:color w:val="000000"/>
              </w:rPr>
              <w:t xml:space="preserve"> (16.2)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ind w:left="270"/>
              <w:rPr>
                <w:rFonts w:ascii="Arial" w:hAnsi="Arial" w:cs="Arial"/>
                <w:b/>
                <w:color w:val="000000"/>
                <w:kern w:val="24"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>Other/Unknown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</w:rPr>
              <w:t>67 (3.3)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17,</w:t>
            </w:r>
            <w:r w:rsidR="00634494">
              <w:rPr>
                <w:rFonts w:ascii="Arial" w:hAnsi="Arial" w:cs="Arial"/>
                <w:color w:val="000000"/>
              </w:rPr>
              <w:t>161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(3.1)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 xml:space="preserve">Year of </w:t>
            </w:r>
            <w:r>
              <w:rPr>
                <w:rFonts w:ascii="Arial" w:hAnsi="Arial" w:cs="Arial"/>
                <w:b/>
                <w:color w:val="000000"/>
                <w:kern w:val="24"/>
              </w:rPr>
              <w:t>d</w:t>
            </w:r>
            <w:r w:rsidRPr="005D225C">
              <w:rPr>
                <w:rFonts w:ascii="Arial" w:hAnsi="Arial" w:cs="Arial"/>
                <w:b/>
                <w:color w:val="000000"/>
                <w:kern w:val="24"/>
              </w:rPr>
              <w:t>ischarge (n, %)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2008</w:t>
            </w:r>
          </w:p>
        </w:tc>
        <w:tc>
          <w:tcPr>
            <w:tcW w:w="2355" w:type="dxa"/>
            <w:vAlign w:val="center"/>
          </w:tcPr>
          <w:p w:rsidR="00E026B5" w:rsidRPr="005D225C" w:rsidRDefault="00634494" w:rsidP="00634494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43</w:t>
            </w: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Pr="005D225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26B5" w:rsidRPr="005D225C">
              <w:rPr>
                <w:rFonts w:ascii="Arial" w:eastAsia="Times New Roman" w:hAnsi="Arial" w:cs="Arial"/>
                <w:color w:val="000000"/>
              </w:rPr>
              <w:t>(21.</w:t>
            </w: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228" w:type="dxa"/>
            <w:vAlign w:val="center"/>
          </w:tcPr>
          <w:p w:rsidR="00E026B5" w:rsidRPr="005D225C" w:rsidRDefault="000D2153" w:rsidP="000D2153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11</w:t>
            </w:r>
            <w:r>
              <w:rPr>
                <w:rFonts w:ascii="Arial" w:hAnsi="Arial" w:cs="Arial"/>
                <w:color w:val="000000"/>
              </w:rPr>
              <w:t>6</w:t>
            </w:r>
            <w:r w:rsidR="00E026B5" w:rsidRPr="005D225C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040</w:t>
            </w:r>
            <w:r w:rsidRPr="005D225C">
              <w:rPr>
                <w:rFonts w:ascii="Arial" w:hAnsi="Arial" w:cs="Arial"/>
                <w:color w:val="000000"/>
              </w:rPr>
              <w:t xml:space="preserve"> </w:t>
            </w:r>
            <w:r w:rsidR="00E026B5" w:rsidRPr="005D225C">
              <w:rPr>
                <w:rFonts w:ascii="Arial" w:hAnsi="Arial" w:cs="Arial"/>
                <w:color w:val="000000"/>
              </w:rPr>
              <w:t>(20.8)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</w:t>
            </w:r>
            <w:r w:rsidR="00634494">
              <w:rPr>
                <w:rFonts w:ascii="Arial" w:hAnsi="Arial" w:cs="Arial"/>
              </w:rPr>
              <w:t>611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2009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427 (20.9)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111</w:t>
            </w:r>
            <w:r w:rsidR="00521514">
              <w:rPr>
                <w:rFonts w:ascii="Arial" w:hAnsi="Arial" w:cs="Arial"/>
                <w:color w:val="000000"/>
              </w:rPr>
              <w:t>,379</w:t>
            </w:r>
            <w:r w:rsidRPr="005D225C">
              <w:rPr>
                <w:rFonts w:ascii="Arial" w:hAnsi="Arial" w:cs="Arial"/>
                <w:color w:val="000000"/>
              </w:rPr>
              <w:t xml:space="preserve"> (20.0)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2010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424 (20.7)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113,</w:t>
            </w:r>
            <w:r w:rsidR="000D2153">
              <w:rPr>
                <w:rFonts w:ascii="Arial" w:hAnsi="Arial" w:cs="Arial"/>
                <w:color w:val="000000"/>
              </w:rPr>
              <w:t>578</w:t>
            </w:r>
            <w:r w:rsidR="000D2153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(20.4)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2011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385 (18.8)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111,</w:t>
            </w:r>
            <w:r w:rsidR="000D2153">
              <w:rPr>
                <w:rFonts w:ascii="Arial" w:hAnsi="Arial" w:cs="Arial"/>
                <w:color w:val="000000"/>
              </w:rPr>
              <w:t>258</w:t>
            </w:r>
            <w:r w:rsidR="000D2153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(20.0)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2012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374 (18.3)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104,</w:t>
            </w:r>
            <w:r w:rsidR="000D2153">
              <w:rPr>
                <w:rFonts w:ascii="Arial" w:hAnsi="Arial" w:cs="Arial"/>
                <w:color w:val="000000"/>
              </w:rPr>
              <w:t>529</w:t>
            </w:r>
            <w:r w:rsidR="000D2153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(18.8)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Admission </w:t>
            </w:r>
            <w:r>
              <w:rPr>
                <w:rFonts w:ascii="Arial" w:eastAsia="Times New Roman" w:hAnsi="Arial" w:cs="Arial"/>
                <w:b/>
                <w:color w:val="000000"/>
              </w:rPr>
              <w:t>d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>ay (n, %)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Sunday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280 (13.7)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71,1</w:t>
            </w:r>
            <w:r w:rsidR="00634494">
              <w:rPr>
                <w:rFonts w:ascii="Arial" w:hAnsi="Arial" w:cs="Arial"/>
                <w:color w:val="000000"/>
              </w:rPr>
              <w:t>95</w:t>
            </w:r>
            <w:r w:rsidRPr="005D225C">
              <w:rPr>
                <w:rFonts w:ascii="Arial" w:hAnsi="Arial" w:cs="Arial"/>
                <w:color w:val="000000"/>
              </w:rPr>
              <w:t xml:space="preserve"> (12.8)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color w:val="000000"/>
              </w:rPr>
              <w:t>0.72</w:t>
            </w:r>
            <w:r w:rsidR="000D2153">
              <w:rPr>
                <w:rFonts w:ascii="Arial" w:eastAsia="Times New Roman" w:hAnsi="Arial" w:cs="Arial"/>
                <w:color w:val="000000"/>
              </w:rPr>
              <w:t>3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Monday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307 (15.0)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88,</w:t>
            </w:r>
            <w:r w:rsidR="00634494" w:rsidRPr="005D225C">
              <w:rPr>
                <w:rFonts w:ascii="Arial" w:hAnsi="Arial" w:cs="Arial"/>
                <w:color w:val="000000"/>
              </w:rPr>
              <w:t>5</w:t>
            </w:r>
            <w:r w:rsidR="00634494">
              <w:rPr>
                <w:rFonts w:ascii="Arial" w:hAnsi="Arial" w:cs="Arial"/>
                <w:color w:val="000000"/>
              </w:rPr>
              <w:t>89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(15.9)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hAnsi="Arial" w:cs="Arial"/>
                <w:b/>
                <w:i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Tuesday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b/>
                <w:i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305 (14.9)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83,</w:t>
            </w:r>
            <w:r w:rsidR="00634494">
              <w:rPr>
                <w:rFonts w:ascii="Arial" w:hAnsi="Arial" w:cs="Arial"/>
                <w:color w:val="000000"/>
              </w:rPr>
              <w:t>816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(15.1)</w:t>
            </w:r>
          </w:p>
        </w:tc>
        <w:tc>
          <w:tcPr>
            <w:tcW w:w="1752" w:type="dxa"/>
            <w:vAlign w:val="bottom"/>
          </w:tcPr>
          <w:p w:rsidR="00E026B5" w:rsidRPr="00F21FBB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Wednesday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285 (13.9)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80,</w:t>
            </w:r>
            <w:r w:rsidR="00634494">
              <w:rPr>
                <w:rFonts w:ascii="Arial" w:hAnsi="Arial" w:cs="Arial"/>
                <w:color w:val="000000"/>
              </w:rPr>
              <w:t>467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(14.5)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Thursday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291 (14.2)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80,</w:t>
            </w:r>
            <w:r w:rsidR="00634494">
              <w:rPr>
                <w:rFonts w:ascii="Arial" w:hAnsi="Arial" w:cs="Arial"/>
                <w:color w:val="000000"/>
              </w:rPr>
              <w:t>116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(14.4)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Friday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300 (14.7)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81,</w:t>
            </w:r>
            <w:r w:rsidR="00634494">
              <w:rPr>
                <w:rFonts w:ascii="Arial" w:hAnsi="Arial" w:cs="Arial"/>
                <w:color w:val="000000"/>
              </w:rPr>
              <w:t>583</w:t>
            </w:r>
            <w:r w:rsidR="00634494" w:rsidRPr="005D225C">
              <w:rPr>
                <w:rFonts w:ascii="Arial" w:hAnsi="Arial" w:cs="Arial"/>
                <w:color w:val="000000"/>
              </w:rPr>
              <w:t xml:space="preserve"> </w:t>
            </w:r>
            <w:r w:rsidRPr="005D225C">
              <w:rPr>
                <w:rFonts w:ascii="Arial" w:hAnsi="Arial" w:cs="Arial"/>
                <w:color w:val="000000"/>
              </w:rPr>
              <w:t>(14.7)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86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 Saturday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5D225C">
              <w:rPr>
                <w:rFonts w:ascii="Arial" w:eastAsia="Times New Roman" w:hAnsi="Arial" w:cs="Arial"/>
                <w:color w:val="000000"/>
              </w:rPr>
              <w:t>276 (13.5)</w:t>
            </w:r>
          </w:p>
        </w:tc>
        <w:tc>
          <w:tcPr>
            <w:tcW w:w="2228" w:type="dxa"/>
            <w:vAlign w:val="center"/>
          </w:tcPr>
          <w:p w:rsidR="00E026B5" w:rsidRPr="005D225C" w:rsidRDefault="00634494" w:rsidP="00634494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7</w:t>
            </w:r>
            <w:r>
              <w:rPr>
                <w:rFonts w:ascii="Arial" w:hAnsi="Arial" w:cs="Arial"/>
                <w:color w:val="000000"/>
              </w:rPr>
              <w:t>1,018</w:t>
            </w:r>
            <w:r w:rsidR="00E026B5" w:rsidRPr="005D225C">
              <w:rPr>
                <w:rFonts w:ascii="Arial" w:hAnsi="Arial" w:cs="Arial"/>
                <w:color w:val="000000"/>
              </w:rPr>
              <w:t xml:space="preserve"> (12.8)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proofErr w:type="spellStart"/>
            <w:r w:rsidRPr="005D225C">
              <w:rPr>
                <w:rFonts w:ascii="Arial" w:eastAsia="Times New Roman" w:hAnsi="Arial" w:cs="Arial"/>
                <w:b/>
                <w:color w:val="000000"/>
              </w:rPr>
              <w:t>Charlson</w:t>
            </w:r>
            <w:proofErr w:type="spellEnd"/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>i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>ndex</w:t>
            </w:r>
            <w:r>
              <w:rPr>
                <w:rFonts w:ascii="Arial" w:eastAsia="Times New Roman" w:hAnsi="Arial" w:cs="Arial"/>
                <w:b/>
                <w:color w:val="000000"/>
              </w:rPr>
              <w:t>,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mean </w:t>
            </w:r>
            <w:r>
              <w:rPr>
                <w:rFonts w:ascii="Arial" w:eastAsia="Times New Roman" w:hAnsi="Arial" w:cs="Arial"/>
                <w:b/>
                <w:color w:val="000000"/>
              </w:rPr>
              <w:t>(SD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3.69 (2.16)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3.05 (2.06)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C77A34">
              <w:rPr>
                <w:rFonts w:ascii="Arial" w:hAnsi="Arial" w:cs="Arial"/>
              </w:rPr>
              <w:t>&lt;.0001</w:t>
            </w:r>
          </w:p>
        </w:tc>
      </w:tr>
      <w:tr w:rsidR="00E026B5" w:rsidRPr="005D225C" w:rsidTr="00326FBF">
        <w:trPr>
          <w:trHeight w:val="71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Occupancy at Admission </w:t>
            </w: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>ercentile</w:t>
            </w:r>
            <w:r>
              <w:rPr>
                <w:rFonts w:ascii="Arial" w:eastAsia="Times New Roman" w:hAnsi="Arial" w:cs="Arial"/>
                <w:b/>
                <w:color w:val="000000"/>
              </w:rPr>
              <w:t>,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mean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(SD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0.52 (0.28)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0.54 (0.28)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94BA3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lastRenderedPageBreak/>
              <w:t xml:space="preserve">Average Occupancy over Stay </w:t>
            </w:r>
            <w:r>
              <w:rPr>
                <w:rFonts w:ascii="Arial" w:eastAsia="Times New Roman" w:hAnsi="Arial" w:cs="Arial"/>
                <w:b/>
                <w:color w:val="000000"/>
              </w:rPr>
              <w:t>p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>ercentile</w:t>
            </w:r>
            <w:r>
              <w:rPr>
                <w:rFonts w:ascii="Arial" w:eastAsia="Times New Roman" w:hAnsi="Arial" w:cs="Arial"/>
                <w:b/>
                <w:color w:val="000000"/>
              </w:rPr>
              <w:t>,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mean </w:t>
            </w:r>
            <w:r>
              <w:rPr>
                <w:rFonts w:ascii="Arial" w:eastAsia="Times New Roman" w:hAnsi="Arial" w:cs="Arial"/>
                <w:b/>
                <w:color w:val="000000"/>
              </w:rPr>
              <w:t>(SD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>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0.53 (0.14)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  <w:r w:rsidRPr="005D225C">
              <w:rPr>
                <w:rFonts w:ascii="Arial" w:hAnsi="Arial" w:cs="Arial"/>
                <w:color w:val="000000"/>
              </w:rPr>
              <w:t>0.54 (0.21)</w:t>
            </w: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  <w:r w:rsidRPr="00594BA3">
              <w:rPr>
                <w:rFonts w:ascii="Arial" w:hAnsi="Arial" w:cs="Arial"/>
              </w:rPr>
              <w:t>0.00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>Percentage of Families Below FPL</w:t>
            </w:r>
            <w:r>
              <w:rPr>
                <w:rFonts w:ascii="Arial" w:eastAsia="Times New Roman" w:hAnsi="Arial" w:cs="Arial"/>
                <w:b/>
                <w:color w:val="000000"/>
              </w:rPr>
              <w:t>, n (%)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&lt; 25</w:t>
            </w:r>
            <w:r w:rsidRPr="009F1DC5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398 (19.5)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101,499 (18.2)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0.305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&lt;25-75</w:t>
            </w:r>
            <w:r w:rsidRPr="00F21FBB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1,201 (58.8)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329,359 (59.2)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&gt;75</w:t>
            </w:r>
            <w:r w:rsidRPr="00F21FBB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445 (21.8)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125,750 (22.6)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Median </w:t>
            </w:r>
            <w:r>
              <w:rPr>
                <w:rFonts w:ascii="Arial" w:eastAsia="Times New Roman" w:hAnsi="Arial" w:cs="Arial"/>
                <w:b/>
                <w:color w:val="000000"/>
              </w:rPr>
              <w:t>household income, n (%)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 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&lt; 25</w:t>
            </w:r>
            <w:r w:rsidRPr="009F1DC5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345 (16.9)</w:t>
            </w:r>
          </w:p>
        </w:tc>
        <w:tc>
          <w:tcPr>
            <w:tcW w:w="2228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101,387 (18.2)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0.003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&lt;25-75</w:t>
            </w:r>
            <w:r w:rsidRPr="009F1DC5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1,125 (55.0</w:t>
            </w:r>
            <w:r w:rsidRPr="00872D3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28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316,688 (56.9</w:t>
            </w:r>
            <w:r w:rsidRPr="00872D3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&gt;75</w:t>
            </w:r>
            <w:r w:rsidRPr="009F1DC5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574 (28.1</w:t>
            </w:r>
            <w:r w:rsidRPr="00872D3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28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138,225 (24.8</w:t>
            </w:r>
            <w:r w:rsidRPr="00872D3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D225C">
              <w:rPr>
                <w:rFonts w:ascii="Arial" w:eastAsia="Times New Roman" w:hAnsi="Arial" w:cs="Arial"/>
                <w:b/>
                <w:color w:val="000000"/>
              </w:rPr>
              <w:t>Percentage of Age 25+ with</w:t>
            </w:r>
            <w:r>
              <w:rPr>
                <w:rFonts w:ascii="Arial" w:eastAsia="Times New Roman" w:hAnsi="Arial" w:cs="Arial"/>
                <w:b/>
                <w:color w:val="000000"/>
              </w:rPr>
              <w:t>out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High School Diploma</w:t>
            </w:r>
            <w:r>
              <w:rPr>
                <w:rFonts w:ascii="Arial" w:eastAsia="Times New Roman" w:hAnsi="Arial" w:cs="Arial"/>
                <w:b/>
                <w:color w:val="000000"/>
              </w:rPr>
              <w:t>, n (%)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D225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&lt; 25</w:t>
            </w:r>
            <w:r w:rsidRPr="009F1DC5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Pr="005D225C" w:rsidDel="001A47AF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396 (19.4</w:t>
            </w:r>
            <w:r w:rsidRPr="001A47AF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28" w:type="dxa"/>
            <w:vAlign w:val="center"/>
          </w:tcPr>
          <w:p w:rsidR="00E026B5" w:rsidRPr="005D225C" w:rsidDel="001A47AF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103,327 (18.6</w:t>
            </w:r>
            <w:r w:rsidRPr="001A47AF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52" w:type="dxa"/>
            <w:vAlign w:val="center"/>
          </w:tcPr>
          <w:p w:rsidR="00E026B5" w:rsidRPr="000A2592" w:rsidDel="001A47AF" w:rsidRDefault="00E026B5" w:rsidP="0032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0.491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D4552">
              <w:rPr>
                <w:rFonts w:ascii="Arial" w:eastAsia="Times New Roman" w:hAnsi="Arial" w:cs="Arial"/>
                <w:b/>
                <w:color w:val="000000"/>
              </w:rPr>
              <w:t xml:space="preserve">     &lt;25-75th Percentile</w:t>
            </w:r>
          </w:p>
        </w:tc>
        <w:tc>
          <w:tcPr>
            <w:tcW w:w="2355" w:type="dxa"/>
            <w:vAlign w:val="center"/>
          </w:tcPr>
          <w:p w:rsidR="00E026B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8D4552">
              <w:rPr>
                <w:rFonts w:ascii="Arial" w:eastAsia="Times New Roman" w:hAnsi="Arial" w:cs="Arial"/>
                <w:color w:val="000000"/>
              </w:rPr>
              <w:t>1,110 (54.3)</w:t>
            </w:r>
          </w:p>
        </w:tc>
        <w:tc>
          <w:tcPr>
            <w:tcW w:w="2228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  <w:color w:val="000000"/>
              </w:rPr>
            </w:pPr>
            <w:r w:rsidRPr="008D4552">
              <w:rPr>
                <w:rFonts w:ascii="Arial" w:hAnsi="Arial" w:cs="Arial"/>
                <w:color w:val="000000"/>
              </w:rPr>
              <w:t>301,491 (54.2)</w:t>
            </w:r>
          </w:p>
        </w:tc>
        <w:tc>
          <w:tcPr>
            <w:tcW w:w="1752" w:type="dxa"/>
            <w:vAlign w:val="center"/>
          </w:tcPr>
          <w:p w:rsidR="00E026B5" w:rsidRPr="001A47AF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891DF5">
              <w:rPr>
                <w:rFonts w:ascii="Arial" w:eastAsia="Times New Roman" w:hAnsi="Arial" w:cs="Arial"/>
                <w:b/>
                <w:color w:val="000000"/>
              </w:rPr>
              <w:t xml:space="preserve">      &gt;75</w:t>
            </w:r>
            <w:r w:rsidRPr="00891DF5">
              <w:rPr>
                <w:rFonts w:ascii="Arial" w:eastAsia="Times New Roman" w:hAnsi="Arial" w:cs="Arial"/>
                <w:b/>
                <w:color w:val="000000"/>
                <w:vertAlign w:val="superscript"/>
              </w:rPr>
              <w:t>th</w:t>
            </w:r>
            <w:r w:rsidRPr="00891DF5">
              <w:rPr>
                <w:rFonts w:ascii="Arial" w:eastAsia="Times New Roman" w:hAnsi="Arial" w:cs="Arial"/>
                <w:b/>
                <w:color w:val="000000"/>
              </w:rPr>
              <w:t xml:space="preserve"> Percentile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 w:rsidRPr="00891DF5">
              <w:rPr>
                <w:rFonts w:ascii="Arial" w:eastAsia="Times New Roman" w:hAnsi="Arial" w:cs="Arial"/>
                <w:color w:val="000000"/>
              </w:rPr>
              <w:t>538 (26.3)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151,872 (27.3</w:t>
            </w:r>
            <w:r w:rsidRPr="00891DF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  <w:r w:rsidRPr="00891DF5">
              <w:rPr>
                <w:rFonts w:ascii="Arial" w:hAnsi="Arial" w:cs="Arial"/>
              </w:rPr>
              <w:t>0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9787F">
              <w:rPr>
                <w:rFonts w:ascii="Arial" w:hAnsi="Arial" w:cs="Arial"/>
                <w:b/>
                <w:bCs/>
                <w:i/>
                <w:lang w:val="fi-FI"/>
              </w:rPr>
              <w:t>Hospital Characteristics</w:t>
            </w:r>
          </w:p>
        </w:tc>
        <w:tc>
          <w:tcPr>
            <w:tcW w:w="2355" w:type="dxa"/>
            <w:vAlign w:val="center"/>
          </w:tcPr>
          <w:p w:rsidR="00E026B5" w:rsidRPr="00F21FBB" w:rsidRDefault="00E026B5" w:rsidP="00326FBF">
            <w:pPr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F21FBB">
              <w:rPr>
                <w:rFonts w:ascii="Arial" w:eastAsia="Times New Roman" w:hAnsi="Arial" w:cs="Arial"/>
                <w:b/>
                <w:i/>
                <w:color w:val="000000"/>
              </w:rPr>
              <w:t>CDI</w:t>
            </w:r>
          </w:p>
        </w:tc>
        <w:tc>
          <w:tcPr>
            <w:tcW w:w="2228" w:type="dxa"/>
            <w:vAlign w:val="center"/>
          </w:tcPr>
          <w:p w:rsidR="00E026B5" w:rsidRPr="00F21FBB" w:rsidRDefault="00E026B5" w:rsidP="00326FBF">
            <w:pPr>
              <w:rPr>
                <w:rFonts w:ascii="Arial" w:hAnsi="Arial" w:cs="Arial"/>
                <w:b/>
                <w:i/>
                <w:color w:val="000000"/>
              </w:rPr>
            </w:pPr>
            <w:r w:rsidRPr="00F21FBB">
              <w:rPr>
                <w:rFonts w:ascii="Arial" w:hAnsi="Arial" w:cs="Arial"/>
                <w:b/>
                <w:i/>
                <w:color w:val="000000"/>
              </w:rPr>
              <w:t>No CDI</w:t>
            </w:r>
          </w:p>
        </w:tc>
        <w:tc>
          <w:tcPr>
            <w:tcW w:w="1752" w:type="dxa"/>
            <w:vAlign w:val="center"/>
          </w:tcPr>
          <w:p w:rsidR="00E026B5" w:rsidRPr="00F21FBB" w:rsidRDefault="00E026B5" w:rsidP="00326FBF">
            <w:pPr>
              <w:rPr>
                <w:rFonts w:ascii="Arial" w:hAnsi="Arial" w:cs="Arial"/>
                <w:b/>
                <w:i/>
              </w:rPr>
            </w:pPr>
            <w:r w:rsidRPr="00F21FBB">
              <w:rPr>
                <w:rFonts w:ascii="Arial" w:hAnsi="Arial" w:cs="Arial"/>
                <w:b/>
                <w:i/>
              </w:rPr>
              <w:t>P-Value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9787F">
              <w:rPr>
                <w:rFonts w:ascii="Arial" w:hAnsi="Arial" w:cs="Arial"/>
                <w:b/>
                <w:bCs/>
                <w:lang w:val="fi-FI"/>
              </w:rPr>
              <w:t>Hospital Type, n (%)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59787F">
              <w:rPr>
                <w:rFonts w:ascii="Arial" w:hAnsi="Arial" w:cs="Arial"/>
                <w:b/>
              </w:rPr>
              <w:t>City/County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17 (0.8)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9,</w:t>
            </w:r>
            <w:r w:rsidR="000D2153">
              <w:rPr>
                <w:rFonts w:ascii="Arial" w:hAnsi="Arial" w:cs="Arial"/>
                <w:color w:val="000000"/>
              </w:rPr>
              <w:t xml:space="preserve">902 </w:t>
            </w:r>
            <w:r>
              <w:rPr>
                <w:rFonts w:ascii="Arial" w:hAnsi="Arial" w:cs="Arial"/>
                <w:color w:val="000000"/>
              </w:rPr>
              <w:t>(1.8)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  <w:r w:rsidRPr="00594BA3">
              <w:rPr>
                <w:rFonts w:ascii="Arial" w:hAnsi="Arial" w:cs="Arial"/>
              </w:rPr>
              <w:t>&lt;.0001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b/>
                <w:color w:val="000000"/>
              </w:rPr>
            </w:pPr>
            <w:r w:rsidRPr="0059787F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9787F">
              <w:rPr>
                <w:rFonts w:ascii="Arial" w:hAnsi="Arial" w:cs="Arial"/>
                <w:b/>
              </w:rPr>
              <w:t>District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105 (5.1)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43,</w:t>
            </w:r>
            <w:r w:rsidR="000D2153">
              <w:rPr>
                <w:rFonts w:ascii="Arial" w:hAnsi="Arial" w:cs="Arial"/>
                <w:color w:val="000000"/>
              </w:rPr>
              <w:t xml:space="preserve">413 </w:t>
            </w:r>
            <w:r>
              <w:rPr>
                <w:rFonts w:ascii="Arial" w:hAnsi="Arial" w:cs="Arial"/>
                <w:color w:val="000000"/>
              </w:rPr>
              <w:t>(7.8)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50"/>
          <w:tblHeader/>
        </w:trPr>
        <w:tc>
          <w:tcPr>
            <w:tcW w:w="3025" w:type="dxa"/>
            <w:vAlign w:val="bottom"/>
          </w:tcPr>
          <w:p w:rsidR="00E026B5" w:rsidRPr="0059787F" w:rsidRDefault="00E026B5" w:rsidP="00326F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59787F">
              <w:rPr>
                <w:rFonts w:ascii="Arial" w:hAnsi="Arial" w:cs="Arial"/>
                <w:b/>
              </w:rPr>
              <w:t>Investor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0D215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376 (18.</w:t>
            </w:r>
            <w:r w:rsidR="000D2153">
              <w:rPr>
                <w:rFonts w:ascii="Arial" w:eastAsia="Times New Roman" w:hAnsi="Arial" w:cs="Arial"/>
                <w:color w:val="000000"/>
              </w:rPr>
              <w:t>4</w:t>
            </w:r>
            <w:r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92,</w:t>
            </w:r>
            <w:r w:rsidR="000D2153">
              <w:rPr>
                <w:rFonts w:ascii="Arial" w:hAnsi="Arial" w:cs="Arial"/>
                <w:color w:val="000000"/>
              </w:rPr>
              <w:t xml:space="preserve">936 </w:t>
            </w:r>
            <w:r>
              <w:rPr>
                <w:rFonts w:ascii="Arial" w:hAnsi="Arial" w:cs="Arial"/>
                <w:color w:val="000000"/>
              </w:rPr>
              <w:t>(16.7)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RDefault="00E026B5" w:rsidP="00326FBF">
            <w:pPr>
              <w:rPr>
                <w:rFonts w:ascii="Arial" w:hAnsi="Arial" w:cs="Arial"/>
                <w:b/>
              </w:rPr>
            </w:pPr>
            <w:r w:rsidRPr="0059787F">
              <w:rPr>
                <w:rFonts w:ascii="Arial" w:hAnsi="Arial" w:cs="Arial"/>
                <w:b/>
              </w:rPr>
              <w:t xml:space="preserve">  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59787F">
              <w:rPr>
                <w:rFonts w:ascii="Arial" w:hAnsi="Arial" w:cs="Arial"/>
                <w:b/>
              </w:rPr>
              <w:t>Non-Profit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0D2153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1,</w:t>
            </w:r>
            <w:r w:rsidR="000D2153">
              <w:rPr>
                <w:rFonts w:ascii="Arial" w:eastAsia="Times New Roman" w:hAnsi="Arial" w:cs="Arial"/>
                <w:color w:val="000000"/>
              </w:rPr>
              <w:t xml:space="preserve">547 </w:t>
            </w:r>
            <w:r>
              <w:rPr>
                <w:rFonts w:ascii="Arial" w:eastAsia="Times New Roman" w:hAnsi="Arial" w:cs="Arial"/>
                <w:color w:val="000000"/>
              </w:rPr>
              <w:t>(75.6)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410,</w:t>
            </w:r>
            <w:r w:rsidR="000D2153">
              <w:rPr>
                <w:rFonts w:ascii="Arial" w:hAnsi="Arial" w:cs="Arial"/>
                <w:color w:val="000000"/>
              </w:rPr>
              <w:t>538</w:t>
            </w:r>
            <w:r>
              <w:rPr>
                <w:rFonts w:ascii="Arial" w:hAnsi="Arial" w:cs="Arial"/>
                <w:color w:val="000000"/>
              </w:rPr>
              <w:t>(73.7)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RDefault="00E026B5" w:rsidP="00326FBF">
            <w:pPr>
              <w:rPr>
                <w:rFonts w:ascii="Arial" w:hAnsi="Arial" w:cs="Arial"/>
                <w:b/>
              </w:rPr>
            </w:pPr>
            <w:r w:rsidRPr="0059787F">
              <w:rPr>
                <w:rFonts w:ascii="Arial" w:hAnsi="Arial" w:cs="Arial"/>
                <w:b/>
                <w:bCs/>
              </w:rPr>
              <w:t>Teaching Hospital, n (%)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217 (10.6)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49,</w:t>
            </w:r>
            <w:r w:rsidR="000D2153">
              <w:rPr>
                <w:rFonts w:ascii="Arial" w:hAnsi="Arial" w:cs="Arial"/>
                <w:color w:val="000000"/>
              </w:rPr>
              <w:t xml:space="preserve">177 </w:t>
            </w:r>
            <w:r>
              <w:rPr>
                <w:rFonts w:ascii="Arial" w:hAnsi="Arial" w:cs="Arial"/>
                <w:color w:val="000000"/>
              </w:rPr>
              <w:t>(8.8)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0.004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RDefault="00E026B5" w:rsidP="00326FBF">
            <w:pPr>
              <w:rPr>
                <w:rFonts w:ascii="Arial" w:hAnsi="Arial" w:cs="Arial"/>
                <w:b/>
              </w:rPr>
            </w:pPr>
            <w:r w:rsidRPr="0059787F">
              <w:rPr>
                <w:rFonts w:ascii="Arial" w:hAnsi="Arial" w:cs="Arial"/>
                <w:b/>
                <w:bCs/>
                <w:lang w:val="fi-FI"/>
              </w:rPr>
              <w:t>Rural, n (%)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 (2.3)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0D215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</w:t>
            </w:r>
            <w:r w:rsidR="000D2153">
              <w:rPr>
                <w:rFonts w:ascii="Arial" w:hAnsi="Arial" w:cs="Arial"/>
                <w:color w:val="000000"/>
              </w:rPr>
              <w:t xml:space="preserve">203 </w:t>
            </w:r>
            <w:r>
              <w:rPr>
                <w:rFonts w:ascii="Arial" w:hAnsi="Arial" w:cs="Arial"/>
                <w:color w:val="000000"/>
              </w:rPr>
              <w:t>(5.4)</w:t>
            </w: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  <w:r w:rsidRPr="00594BA3">
              <w:rPr>
                <w:rFonts w:ascii="Arial" w:hAnsi="Arial" w:cs="Arial"/>
              </w:rPr>
              <w:t>&lt;.0001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RDefault="00E026B5" w:rsidP="00326F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 xml:space="preserve">Hospital Size, n (%) </w:t>
            </w:r>
          </w:p>
        </w:tc>
        <w:tc>
          <w:tcPr>
            <w:tcW w:w="2355" w:type="dxa"/>
            <w:vAlign w:val="center"/>
          </w:tcPr>
          <w:p w:rsidR="00E026B5" w:rsidRPr="005D225C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228" w:type="dxa"/>
            <w:vAlign w:val="center"/>
          </w:tcPr>
          <w:p w:rsidR="00E026B5" w:rsidRPr="005D225C" w:rsidRDefault="00E026B5" w:rsidP="00326FB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52" w:type="dxa"/>
            <w:vAlign w:val="center"/>
          </w:tcPr>
          <w:p w:rsidR="00E026B5" w:rsidRPr="000A2592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Del="00711445" w:rsidRDefault="00E026B5" w:rsidP="00326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0-94 Beds</w:t>
            </w:r>
          </w:p>
        </w:tc>
        <w:tc>
          <w:tcPr>
            <w:tcW w:w="2355" w:type="dxa"/>
            <w:vAlign w:val="center"/>
          </w:tcPr>
          <w:p w:rsidR="00E026B5" w:rsidDel="0071144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57 (2.8)</w:t>
            </w:r>
          </w:p>
        </w:tc>
        <w:tc>
          <w:tcPr>
            <w:tcW w:w="2228" w:type="dxa"/>
            <w:vAlign w:val="center"/>
          </w:tcPr>
          <w:p w:rsidR="00E026B5" w:rsidDel="0071144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33,725 (6.1)</w:t>
            </w:r>
          </w:p>
        </w:tc>
        <w:tc>
          <w:tcPr>
            <w:tcW w:w="1752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</w:rPr>
            </w:pPr>
            <w:r w:rsidRPr="00594BA3">
              <w:rPr>
                <w:rFonts w:ascii="Arial" w:hAnsi="Arial" w:cs="Arial"/>
              </w:rPr>
              <w:t>&lt;.0001</w:t>
            </w: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Del="00711445" w:rsidRDefault="00E026B5" w:rsidP="00326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95-169 Beds</w:t>
            </w:r>
          </w:p>
        </w:tc>
        <w:tc>
          <w:tcPr>
            <w:tcW w:w="2355" w:type="dxa"/>
            <w:vAlign w:val="center"/>
          </w:tcPr>
          <w:p w:rsidR="00E026B5" w:rsidDel="0071144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199 (9.7)</w:t>
            </w:r>
          </w:p>
        </w:tc>
        <w:tc>
          <w:tcPr>
            <w:tcW w:w="2228" w:type="dxa"/>
            <w:vAlign w:val="center"/>
          </w:tcPr>
          <w:p w:rsidR="00E026B5" w:rsidDel="0071144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75,036 (13.5)</w:t>
            </w:r>
          </w:p>
        </w:tc>
        <w:tc>
          <w:tcPr>
            <w:tcW w:w="1752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Del="00711445" w:rsidRDefault="00E026B5" w:rsidP="00326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170-269 Beds</w:t>
            </w:r>
          </w:p>
        </w:tc>
        <w:tc>
          <w:tcPr>
            <w:tcW w:w="2355" w:type="dxa"/>
            <w:vAlign w:val="center"/>
          </w:tcPr>
          <w:p w:rsidR="00E026B5" w:rsidDel="0071144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471 (23.0)</w:t>
            </w:r>
          </w:p>
        </w:tc>
        <w:tc>
          <w:tcPr>
            <w:tcW w:w="2228" w:type="dxa"/>
            <w:vAlign w:val="center"/>
          </w:tcPr>
          <w:p w:rsidR="00E026B5" w:rsidDel="0071144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133,462 (24.0)</w:t>
            </w:r>
          </w:p>
        </w:tc>
        <w:tc>
          <w:tcPr>
            <w:tcW w:w="1752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Del="00711445" w:rsidRDefault="00E026B5" w:rsidP="00326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270-379 Beds</w:t>
            </w:r>
          </w:p>
        </w:tc>
        <w:tc>
          <w:tcPr>
            <w:tcW w:w="2355" w:type="dxa"/>
            <w:vAlign w:val="center"/>
          </w:tcPr>
          <w:p w:rsidR="00E026B5" w:rsidDel="0071144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518 (25.3)</w:t>
            </w:r>
          </w:p>
        </w:tc>
        <w:tc>
          <w:tcPr>
            <w:tcW w:w="2228" w:type="dxa"/>
            <w:vAlign w:val="center"/>
          </w:tcPr>
          <w:p w:rsidR="00E026B5" w:rsidDel="0071144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120,048 (21.6)</w:t>
            </w:r>
          </w:p>
        </w:tc>
        <w:tc>
          <w:tcPr>
            <w:tcW w:w="1752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Del="00711445" w:rsidRDefault="00E026B5" w:rsidP="00326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380-499 Beds</w:t>
            </w:r>
          </w:p>
        </w:tc>
        <w:tc>
          <w:tcPr>
            <w:tcW w:w="2355" w:type="dxa"/>
            <w:vAlign w:val="center"/>
          </w:tcPr>
          <w:p w:rsidR="00E026B5" w:rsidDel="0071144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467 (22.8)</w:t>
            </w:r>
          </w:p>
        </w:tc>
        <w:tc>
          <w:tcPr>
            <w:tcW w:w="2228" w:type="dxa"/>
            <w:vAlign w:val="center"/>
          </w:tcPr>
          <w:p w:rsidR="00E026B5" w:rsidDel="0071144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122,083 (21.9)</w:t>
            </w:r>
          </w:p>
        </w:tc>
        <w:tc>
          <w:tcPr>
            <w:tcW w:w="1752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</w:rPr>
            </w:pPr>
          </w:p>
        </w:tc>
      </w:tr>
      <w:tr w:rsidR="00E026B5" w:rsidRPr="005D225C" w:rsidTr="00326FBF">
        <w:trPr>
          <w:trHeight w:val="360"/>
          <w:tblHeader/>
        </w:trPr>
        <w:tc>
          <w:tcPr>
            <w:tcW w:w="3025" w:type="dxa"/>
            <w:vAlign w:val="bottom"/>
          </w:tcPr>
          <w:p w:rsidR="00E026B5" w:rsidRPr="0059787F" w:rsidDel="00711445" w:rsidRDefault="00E026B5" w:rsidP="00326FB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500+ Beds</w:t>
            </w:r>
          </w:p>
        </w:tc>
        <w:tc>
          <w:tcPr>
            <w:tcW w:w="2355" w:type="dxa"/>
            <w:vAlign w:val="center"/>
          </w:tcPr>
          <w:p w:rsidR="00E026B5" w:rsidDel="00711445" w:rsidRDefault="00E026B5" w:rsidP="00326FBF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333 (16.3)</w:t>
            </w:r>
          </w:p>
        </w:tc>
        <w:tc>
          <w:tcPr>
            <w:tcW w:w="2228" w:type="dxa"/>
            <w:vAlign w:val="center"/>
          </w:tcPr>
          <w:p w:rsidR="00E026B5" w:rsidDel="00711445" w:rsidRDefault="00E026B5" w:rsidP="00326FB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72,430 (13.0)</w:t>
            </w:r>
          </w:p>
        </w:tc>
        <w:tc>
          <w:tcPr>
            <w:tcW w:w="1752" w:type="dxa"/>
            <w:vAlign w:val="center"/>
          </w:tcPr>
          <w:p w:rsidR="00E026B5" w:rsidRDefault="00E026B5" w:rsidP="00326FBF">
            <w:pPr>
              <w:rPr>
                <w:rFonts w:ascii="Arial" w:hAnsi="Arial" w:cs="Arial"/>
              </w:rPr>
            </w:pPr>
          </w:p>
        </w:tc>
      </w:tr>
    </w:tbl>
    <w:p w:rsidR="00E026B5" w:rsidRPr="00E42F54" w:rsidRDefault="00E026B5" w:rsidP="00E026B5">
      <w:pPr>
        <w:pBdr>
          <w:bottom w:val="single" w:sz="4" w:space="1" w:color="auto"/>
        </w:pBdr>
        <w:rPr>
          <w:rFonts w:ascii="Arial" w:hAnsi="Arial" w:cs="Arial"/>
          <w:sz w:val="24"/>
          <w:szCs w:val="24"/>
        </w:rPr>
      </w:pPr>
      <w:r w:rsidRPr="00B40592">
        <w:rPr>
          <w:rFonts w:ascii="Arial" w:hAnsi="Arial" w:cs="Arial"/>
          <w:sz w:val="24"/>
          <w:szCs w:val="24"/>
        </w:rPr>
        <w:t>Note:</w:t>
      </w:r>
      <w:r>
        <w:t xml:space="preserve"> </w:t>
      </w:r>
      <w:r>
        <w:rPr>
          <w:rFonts w:ascii="Arial" w:hAnsi="Arial" w:cs="Arial"/>
          <w:sz w:val="24"/>
          <w:szCs w:val="24"/>
        </w:rPr>
        <w:t xml:space="preserve">For descriptive analysis in Table </w:t>
      </w:r>
      <w:r w:rsidR="009F5B0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we used Chi-square for categorical variables and t-test for continuous variables.  </w:t>
      </w:r>
    </w:p>
    <w:p w:rsidR="005B3729" w:rsidRDefault="00BA4EE0"/>
    <w:sectPr w:rsidR="005B3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enger, Neil M.D.">
    <w15:presenceInfo w15:providerId="AD" w15:userId="S-1-5-21-73586283-1284227242-1801674531-1527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B5"/>
    <w:rsid w:val="000D2153"/>
    <w:rsid w:val="001D72B2"/>
    <w:rsid w:val="001E4C52"/>
    <w:rsid w:val="002F469E"/>
    <w:rsid w:val="004523E9"/>
    <w:rsid w:val="00521514"/>
    <w:rsid w:val="0055253A"/>
    <w:rsid w:val="00634494"/>
    <w:rsid w:val="00954D0C"/>
    <w:rsid w:val="009F5B0D"/>
    <w:rsid w:val="00BA4EE0"/>
    <w:rsid w:val="00C0401B"/>
    <w:rsid w:val="00E026B5"/>
    <w:rsid w:val="00E858C3"/>
    <w:rsid w:val="00FC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26B5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0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9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4523E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E026B5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E02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94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4523E9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619</Words>
  <Characters>3529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Kogowski, Amanda</dc:creator>
  <cp:keywords/>
  <dc:description/>
  <cp:lastModifiedBy>Mahshid Abir</cp:lastModifiedBy>
  <cp:revision>2</cp:revision>
  <dcterms:created xsi:type="dcterms:W3CDTF">2018-02-21T03:45:00Z</dcterms:created>
  <dcterms:modified xsi:type="dcterms:W3CDTF">2018-02-21T03:45:00Z</dcterms:modified>
</cp:coreProperties>
</file>