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0A" w:rsidRPr="00D6440A" w:rsidRDefault="00D6440A" w:rsidP="00D6440A">
      <w:pPr>
        <w:rPr>
          <w:rFonts w:cstheme="minorHAnsi"/>
          <w:b/>
          <w:sz w:val="28"/>
          <w:szCs w:val="28"/>
        </w:rPr>
      </w:pPr>
      <w:r w:rsidRPr="00D6440A">
        <w:rPr>
          <w:rFonts w:cstheme="minorHAnsi"/>
          <w:b/>
          <w:sz w:val="28"/>
          <w:szCs w:val="28"/>
        </w:rPr>
        <w:t>Supplementary Material</w:t>
      </w:r>
    </w:p>
    <w:p w:rsidR="00D6440A" w:rsidRDefault="00D6440A" w:rsidP="00D6440A">
      <w:pPr>
        <w:rPr>
          <w:rFonts w:cstheme="minorHAnsi"/>
          <w:u w:val="single"/>
        </w:rPr>
      </w:pPr>
      <w:r w:rsidRPr="00D6440A">
        <w:rPr>
          <w:rFonts w:cstheme="minorHAnsi"/>
          <w:u w:val="single"/>
        </w:rPr>
        <w:t>Table of Contents:</w:t>
      </w:r>
    </w:p>
    <w:p w:rsidR="00130F2A" w:rsidRPr="0099063B" w:rsidRDefault="00130F2A" w:rsidP="00130F2A">
      <w:pPr>
        <w:rPr>
          <w:rFonts w:cstheme="minorHAnsi"/>
        </w:rPr>
      </w:pPr>
      <w:proofErr w:type="spellStart"/>
      <w:r>
        <w:rPr>
          <w:rFonts w:cstheme="minorHAnsi"/>
        </w:rPr>
        <w:t>eMethods</w:t>
      </w:r>
      <w:proofErr w:type="spellEnd"/>
      <w:r>
        <w:rPr>
          <w:rFonts w:cstheme="minorHAnsi"/>
        </w:rPr>
        <w:t>: Consensus Statement Development</w:t>
      </w:r>
      <w:r w:rsidR="009F6A10">
        <w:rPr>
          <w:rFonts w:cstheme="minorHAnsi"/>
        </w:rPr>
        <w:t xml:space="preserve"> and Process Results</w:t>
      </w:r>
    </w:p>
    <w:p w:rsidR="00D6440A" w:rsidRDefault="00D6440A" w:rsidP="00D6440A">
      <w:pPr>
        <w:rPr>
          <w:rFonts w:cstheme="minorHAnsi"/>
        </w:rPr>
      </w:pPr>
      <w:r>
        <w:rPr>
          <w:rFonts w:cstheme="minorHAnsi"/>
        </w:rPr>
        <w:t>Appendix Table 1. Working Group Members</w:t>
      </w:r>
    </w:p>
    <w:p w:rsidR="00D6440A" w:rsidRDefault="00D6440A" w:rsidP="00D6440A">
      <w:pPr>
        <w:rPr>
          <w:rFonts w:cstheme="minorHAnsi"/>
        </w:rPr>
      </w:pPr>
      <w:r>
        <w:rPr>
          <w:rFonts w:cstheme="minorHAnsi"/>
        </w:rPr>
        <w:t xml:space="preserve">Appendix Table 2. </w:t>
      </w:r>
      <w:r w:rsidR="00CF17C8" w:rsidRPr="00D6440A">
        <w:rPr>
          <w:rFonts w:cstheme="minorHAnsi"/>
        </w:rPr>
        <w:t>Validity ratings by the Society of Hospital Medicine’s Reducing Adverse Drug Events Related to Opioids (RADEO) initiative expert reviewers</w:t>
      </w:r>
    </w:p>
    <w:p w:rsidR="00D6440A" w:rsidRDefault="00D6440A" w:rsidP="00D6440A">
      <w:pPr>
        <w:rPr>
          <w:rFonts w:cstheme="minorHAnsi"/>
        </w:rPr>
      </w:pPr>
      <w:r>
        <w:rPr>
          <w:rFonts w:cstheme="minorHAnsi"/>
        </w:rPr>
        <w:t xml:space="preserve">Appendix Table 3. </w:t>
      </w:r>
      <w:r w:rsidR="00CF17C8">
        <w:rPr>
          <w:rFonts w:cstheme="minorHAnsi"/>
        </w:rPr>
        <w:t>Professional Societies Engaged During 30-Day Comment Period</w:t>
      </w:r>
    </w:p>
    <w:p w:rsidR="00D6440A" w:rsidRDefault="00D6440A" w:rsidP="00D6440A">
      <w:pPr>
        <w:rPr>
          <w:rFonts w:cstheme="minorHAnsi"/>
        </w:rPr>
      </w:pPr>
    </w:p>
    <w:p w:rsidR="009F6A10" w:rsidRPr="009F6A10" w:rsidRDefault="00D6440A">
      <w:pPr>
        <w:rPr>
          <w:b/>
          <w:sz w:val="28"/>
          <w:szCs w:val="28"/>
        </w:rPr>
      </w:pPr>
      <w:r>
        <w:br w:type="page"/>
      </w:r>
      <w:proofErr w:type="spellStart"/>
      <w:r w:rsidR="00130F2A" w:rsidRPr="009F6A10">
        <w:rPr>
          <w:b/>
          <w:sz w:val="28"/>
          <w:szCs w:val="28"/>
        </w:rPr>
        <w:lastRenderedPageBreak/>
        <w:t>eMethods</w:t>
      </w:r>
      <w:proofErr w:type="spellEnd"/>
      <w:r w:rsidR="00130F2A" w:rsidRPr="009F6A10">
        <w:rPr>
          <w:b/>
          <w:sz w:val="28"/>
          <w:szCs w:val="28"/>
        </w:rPr>
        <w:t>: Consensus Statement Development</w:t>
      </w:r>
      <w:r w:rsidR="0069155C">
        <w:rPr>
          <w:b/>
          <w:sz w:val="28"/>
          <w:szCs w:val="28"/>
        </w:rPr>
        <w:t xml:space="preserve"> and Process Results</w:t>
      </w:r>
    </w:p>
    <w:p w:rsidR="009F6A10" w:rsidRDefault="009F6A10">
      <w:pPr>
        <w:rPr>
          <w:b/>
        </w:rPr>
      </w:pPr>
    </w:p>
    <w:p w:rsidR="009F6A10" w:rsidRPr="00370B44" w:rsidRDefault="009F6A10" w:rsidP="009F6A10">
      <w:pPr>
        <w:spacing w:before="120" w:after="0" w:line="480" w:lineRule="auto"/>
        <w:rPr>
          <w:rFonts w:cstheme="minorHAnsi"/>
          <w:i/>
        </w:rPr>
      </w:pPr>
      <w:r>
        <w:rPr>
          <w:rFonts w:cstheme="minorHAnsi"/>
          <w:i/>
        </w:rPr>
        <w:t xml:space="preserve">Drafting the Consensus Statement: </w:t>
      </w:r>
    </w:p>
    <w:p w:rsidR="009F6A10" w:rsidRDefault="009F6A10" w:rsidP="009F6A10">
      <w:pPr>
        <w:spacing w:before="120" w:after="0" w:line="480" w:lineRule="auto"/>
        <w:ind w:firstLine="720"/>
        <w:rPr>
          <w:rFonts w:cstheme="minorHAnsi"/>
        </w:rPr>
      </w:pPr>
      <w:r>
        <w:rPr>
          <w:rFonts w:cstheme="minorHAnsi"/>
        </w:rPr>
        <w:t>The working group drafted and iteratively revised a set of recommendations using a variation on the Delphi Method</w:t>
      </w:r>
      <w:hyperlink w:anchor="_ENREF_9" w:tooltip="Jones, 1995 #822" w:history="1">
        <w:r>
          <w:rPr>
            <w:rFonts w:cstheme="minorHAnsi"/>
          </w:rPr>
          <w:fldChar w:fldCharType="begin"/>
        </w:r>
        <w:r>
          <w:rPr>
            <w:rFonts w:cstheme="minorHAnsi"/>
          </w:rPr>
          <w:instrText xml:space="preserve"> ADDIN EN.CITE &lt;EndNote&gt;&lt;Cite&gt;&lt;Author&gt;Jones&lt;/Author&gt;&lt;Year&gt;1995&lt;/Year&gt;&lt;RecNum&gt;822&lt;/RecNum&gt;&lt;DisplayText&gt;&lt;style face="superscript"&gt;9&lt;/style&gt;&lt;/DisplayText&gt;&lt;record&gt;&lt;rec-number&gt;822&lt;/rec-number&gt;&lt;foreign-keys&gt;&lt;key app="EN" db-id="9d02ps5ty9awpje0aravw2rlrrftzxspdtsp"&gt;822&lt;/key&gt;&lt;/foreign-keys&gt;&lt;ref-type name="Journal Article"&gt;17&lt;/ref-type&gt;&lt;contributors&gt;&lt;authors&gt;&lt;author&gt;Jones, J.&lt;/author&gt;&lt;author&gt;Hunter, D.&lt;/author&gt;&lt;/authors&gt;&lt;/contributors&gt;&lt;auth-address&gt;Nuffield Community Care Studies Unit, Department of Epidemiology and Public Health, University of Leicester.&lt;/auth-address&gt;&lt;titles&gt;&lt;title&gt;Consensus methods for medical and health services research&lt;/title&gt;&lt;secondary-title&gt;BMJ&lt;/secondary-title&gt;&lt;/titles&gt;&lt;periodical&gt;&lt;full-title&gt;BMJ&lt;/full-title&gt;&lt;/periodical&gt;&lt;pages&gt;376-80&lt;/pages&gt;&lt;volume&gt;311&lt;/volume&gt;&lt;number&gt;7001&lt;/number&gt;&lt;edition&gt;1995/08/05&lt;/edition&gt;&lt;keywords&gt;&lt;keyword&gt;Consensus Development Conferences as Topic&lt;/keyword&gt;&lt;keyword&gt;Decision Making&lt;/keyword&gt;&lt;keyword&gt;Delphi Technique&lt;/keyword&gt;&lt;keyword&gt;Feedback&lt;/keyword&gt;&lt;keyword&gt;Health Services Research&lt;/keyword&gt;&lt;/keywords&gt;&lt;dates&gt;&lt;year&gt;1995&lt;/year&gt;&lt;pub-dates&gt;&lt;date&gt;Aug 5&lt;/date&gt;&lt;/pub-dates&gt;&lt;/dates&gt;&lt;isbn&gt;0959-8138 (Print)&amp;#xD;0959-535X (Linking)&lt;/isbn&gt;&lt;urls&gt;&lt;/urls&gt;&lt;custom2&gt;2550437&lt;/custom2&gt;&lt;remote-database-provider&gt;NLM&lt;/remote-database-provider&gt;&lt;language&gt;eng&lt;/language&gt;&lt;/record&gt;&lt;/Cite&gt;&lt;/EndNote&gt;</w:instrText>
        </w:r>
        <w:r>
          <w:rPr>
            <w:rFonts w:cstheme="minorHAnsi"/>
          </w:rPr>
          <w:fldChar w:fldCharType="separate"/>
        </w:r>
        <w:r w:rsidRPr="00720401">
          <w:rPr>
            <w:rFonts w:cstheme="minorHAnsi"/>
            <w:noProof/>
            <w:vertAlign w:val="superscript"/>
          </w:rPr>
          <w:t>9</w:t>
        </w:r>
        <w:r>
          <w:rPr>
            <w:rFonts w:cstheme="minorHAnsi"/>
          </w:rPr>
          <w:fldChar w:fldCharType="end"/>
        </w:r>
      </w:hyperlink>
      <w:r>
        <w:rPr>
          <w:rFonts w:cstheme="minorHAnsi"/>
        </w:rPr>
        <w:t xml:space="preserve"> to identify consensus among group members as follows: </w:t>
      </w:r>
    </w:p>
    <w:p w:rsidR="009F6A10" w:rsidRDefault="009F6A10" w:rsidP="009F6A10">
      <w:pPr>
        <w:spacing w:before="120" w:after="0" w:line="480" w:lineRule="auto"/>
        <w:ind w:firstLine="720"/>
        <w:rPr>
          <w:rFonts w:cstheme="minorHAnsi"/>
        </w:rPr>
      </w:pPr>
      <w:r>
        <w:rPr>
          <w:rFonts w:cstheme="minorHAnsi"/>
        </w:rPr>
        <w:t xml:space="preserve">One author (SJH) formulated an initial draft based on a synthesis of the key recommendations extracted from the existing guidelines included in the systematic review. Members of the working group reviewed the drafted recommendations and provided feedback using an electronic survey platform, including rating the perceived validity of each recommendation on a scale from 1-9. We asked them to consider the following criteria in their validity assessment: 1) Is the recommendation </w:t>
      </w:r>
      <w:r w:rsidRPr="00A22414">
        <w:rPr>
          <w:rFonts w:cstheme="minorHAnsi"/>
        </w:rPr>
        <w:t>evidence-based, or consistent with current, widely held exper</w:t>
      </w:r>
      <w:r>
        <w:rPr>
          <w:rFonts w:cstheme="minorHAnsi"/>
        </w:rPr>
        <w:t>t opinion, 2) is the recommendation a</w:t>
      </w:r>
      <w:r w:rsidRPr="00A22414">
        <w:rPr>
          <w:rFonts w:cstheme="minorHAnsi"/>
        </w:rPr>
        <w:t>ppropriate (</w:t>
      </w:r>
      <w:r>
        <w:rPr>
          <w:rFonts w:cstheme="minorHAnsi"/>
        </w:rPr>
        <w:t xml:space="preserve">i.e., </w:t>
      </w:r>
      <w:r w:rsidRPr="00A22414">
        <w:rPr>
          <w:rFonts w:cstheme="minorHAnsi"/>
        </w:rPr>
        <w:t>offer</w:t>
      </w:r>
      <w:r>
        <w:rPr>
          <w:rFonts w:cstheme="minorHAnsi"/>
        </w:rPr>
        <w:t>s</w:t>
      </w:r>
      <w:r w:rsidRPr="00A22414">
        <w:rPr>
          <w:rFonts w:cstheme="minorHAnsi"/>
        </w:rPr>
        <w:t xml:space="preserve"> patients a favorable balance of potential benefits and risks)</w:t>
      </w:r>
      <w:r>
        <w:rPr>
          <w:rFonts w:cstheme="minorHAnsi"/>
        </w:rPr>
        <w:t xml:space="preserve">, and 3) is the recommended approach preferred </w:t>
      </w:r>
      <w:r w:rsidRPr="00A22414">
        <w:rPr>
          <w:rFonts w:cstheme="minorHAnsi"/>
        </w:rPr>
        <w:t>(</w:t>
      </w:r>
      <w:r>
        <w:rPr>
          <w:rFonts w:cstheme="minorHAnsi"/>
        </w:rPr>
        <w:t xml:space="preserve">i.e., </w:t>
      </w:r>
      <w:r w:rsidRPr="00A22414">
        <w:rPr>
          <w:rFonts w:cstheme="minorHAnsi"/>
        </w:rPr>
        <w:t xml:space="preserve">no alternative approach to care is </w:t>
      </w:r>
      <w:r>
        <w:rPr>
          <w:rFonts w:cstheme="minorHAnsi"/>
        </w:rPr>
        <w:t xml:space="preserve">substantially more appropriate). </w:t>
      </w:r>
    </w:p>
    <w:p w:rsidR="009F6A10" w:rsidRPr="00A22414" w:rsidRDefault="009F6A10" w:rsidP="009F6A10">
      <w:pPr>
        <w:spacing w:before="120" w:after="0" w:line="480" w:lineRule="auto"/>
        <w:ind w:firstLine="720"/>
        <w:rPr>
          <w:rFonts w:cstheme="minorHAnsi"/>
        </w:rPr>
      </w:pPr>
      <w:r>
        <w:rPr>
          <w:rFonts w:cstheme="minorHAnsi"/>
        </w:rPr>
        <w:t>Validity ratings for each recommendation in this original draft ranged from 5-9, with the mean ratings for each statement ranging from 7.3 to 8.5, indicating a high degree of perceived validity at the outset.</w:t>
      </w:r>
    </w:p>
    <w:p w:rsidR="009F6A10" w:rsidRDefault="009F6A10" w:rsidP="009F6A10">
      <w:pPr>
        <w:spacing w:before="120" w:after="0" w:line="480" w:lineRule="auto"/>
        <w:ind w:firstLine="720"/>
        <w:rPr>
          <w:rFonts w:cstheme="minorHAnsi"/>
        </w:rPr>
      </w:pPr>
      <w:r>
        <w:rPr>
          <w:rFonts w:cstheme="minorHAnsi"/>
        </w:rPr>
        <w:t xml:space="preserve">Next, SHM convened an in-person meeting of the working group at SHM headquarters in which the members discussed each of the recommendations and reviewed the anonymized ratings and feedback as a group. Discussion continued until consensus had been reached. After the meeting, the recommendations were refined in response to the discussion during the meeting, and working group members provided comments and feedback on iterative drafts until agreement was reached and all members approved of the draft. </w:t>
      </w:r>
    </w:p>
    <w:p w:rsidR="009F6A10" w:rsidRDefault="009F6A10" w:rsidP="009F6A10">
      <w:pPr>
        <w:spacing w:before="120" w:after="0" w:line="480" w:lineRule="auto"/>
        <w:rPr>
          <w:rFonts w:cstheme="minorHAnsi"/>
        </w:rPr>
      </w:pPr>
    </w:p>
    <w:p w:rsidR="009F6A10" w:rsidRPr="003C0C94" w:rsidRDefault="009F6A10" w:rsidP="009F6A10">
      <w:pPr>
        <w:spacing w:before="120" w:after="0" w:line="480" w:lineRule="auto"/>
        <w:rPr>
          <w:rFonts w:cstheme="minorHAnsi"/>
          <w:i/>
        </w:rPr>
      </w:pPr>
      <w:r>
        <w:rPr>
          <w:rFonts w:cstheme="minorHAnsi"/>
          <w:i/>
        </w:rPr>
        <w:lastRenderedPageBreak/>
        <w:t>External Expert Review:</w:t>
      </w:r>
    </w:p>
    <w:p w:rsidR="009F6A10" w:rsidRDefault="009F6A10" w:rsidP="009F6A10">
      <w:pPr>
        <w:spacing w:before="120" w:after="0" w:line="480" w:lineRule="auto"/>
        <w:ind w:firstLine="720"/>
      </w:pPr>
      <w:r>
        <w:rPr>
          <w:rFonts w:cstheme="minorHAnsi"/>
        </w:rPr>
        <w:t xml:space="preserve">To obtain additional input from individuals with content expertise in opioid </w:t>
      </w:r>
      <w:r w:rsidR="006B4BE8">
        <w:rPr>
          <w:rFonts w:cstheme="minorHAnsi"/>
        </w:rPr>
        <w:t>use</w:t>
      </w:r>
      <w:bookmarkStart w:id="0" w:name="_GoBack"/>
      <w:bookmarkEnd w:id="0"/>
      <w:r>
        <w:rPr>
          <w:rFonts w:cstheme="minorHAnsi"/>
        </w:rPr>
        <w:t xml:space="preserve"> in the hospital setting, SHM then sent the draft for review by </w:t>
      </w:r>
      <w:r>
        <w:t xml:space="preserve">individuals involved in SHM’s Reducing Adverse Drug Events Related to Opioids (RADEO) initiative, including those involved with development of the implementation guide and site leads for the Mentored Implementation program. </w:t>
      </w:r>
    </w:p>
    <w:p w:rsidR="009F6A10" w:rsidRDefault="009F6A10" w:rsidP="009F6A10">
      <w:pPr>
        <w:spacing w:before="120" w:after="0" w:line="480" w:lineRule="auto"/>
        <w:ind w:firstLine="720"/>
      </w:pPr>
      <w:r>
        <w:t>SHM requested that each clinician rate the validity of each recommendation on a scale from 1-9 and informed them that ratings would be interpreted as follows: 1-3, statement is not valid; 4-6, statement is of uncertain, intermediate, or mixed validity; 7-9: statement is valid. SHM asked that they assess validity by the same criteria noted above. The survey also included a free-text comment box after each recommendation. The working group pre-defined their threshold for retention of each recommendation as a 7 or higher validity rating by at least 66% of respondents.</w:t>
      </w:r>
    </w:p>
    <w:p w:rsidR="009F6A10" w:rsidRDefault="009F6A10" w:rsidP="009F6A10">
      <w:pPr>
        <w:spacing w:before="120" w:after="0" w:line="480" w:lineRule="auto"/>
        <w:ind w:firstLine="720"/>
      </w:pPr>
      <w:r>
        <w:t>We obtained a response from 62 out of 88 (70.4%) survey recipients, including 26 (41.9%) hospitalists, 9 (14.5%) nurse practitioners, 8 pharmacists (12.9%), 7 (11.3%) non-hospitalist physicians, 3 (4.84%) resident physicians, 1 (1.6%) physician assistant, and several others (including registered nurses, nurse anesthetists, an anesthesiologist, a respiratory therapist, a clinical pharmacist medication safety officer, an emergency medicine physician, and an acute care surgeon and surgical intensivist) . The median validity ratings for the recommendations ranged from 8-9</w:t>
      </w:r>
      <w:r w:rsidR="00896DAF">
        <w:t xml:space="preserve"> (Appendix Table 2</w:t>
      </w:r>
      <w:r>
        <w:t>). Each recommendation was considered valid (i.e., rated 7 or greater) by at least 66% of respondents (our pre-specified retention criterion).</w:t>
      </w:r>
    </w:p>
    <w:p w:rsidR="009F6A10" w:rsidRDefault="009F6A10" w:rsidP="009F6A10">
      <w:pPr>
        <w:spacing w:before="120" w:after="0" w:line="480" w:lineRule="auto"/>
        <w:rPr>
          <w:rFonts w:cstheme="minorHAnsi"/>
          <w:i/>
        </w:rPr>
      </w:pPr>
    </w:p>
    <w:p w:rsidR="009F6A10" w:rsidRPr="003C0C94" w:rsidRDefault="009F6A10" w:rsidP="009F6A10">
      <w:pPr>
        <w:spacing w:before="120" w:after="0" w:line="480" w:lineRule="auto"/>
        <w:rPr>
          <w:rFonts w:cstheme="minorHAnsi"/>
          <w:i/>
        </w:rPr>
      </w:pPr>
      <w:r>
        <w:rPr>
          <w:rFonts w:cstheme="minorHAnsi"/>
          <w:i/>
        </w:rPr>
        <w:t>30-Day Comment Period by Relevant Professional Societies</w:t>
      </w:r>
      <w:r w:rsidR="00CF17C8">
        <w:rPr>
          <w:rFonts w:cstheme="minorHAnsi"/>
          <w:i/>
        </w:rPr>
        <w:t xml:space="preserve">, </w:t>
      </w:r>
      <w:r>
        <w:rPr>
          <w:rFonts w:cstheme="minorHAnsi"/>
          <w:i/>
        </w:rPr>
        <w:t>SHM Membership</w:t>
      </w:r>
      <w:r w:rsidR="00CF17C8">
        <w:rPr>
          <w:rFonts w:cstheme="minorHAnsi"/>
          <w:i/>
        </w:rPr>
        <w:t>,</w:t>
      </w:r>
      <w:r>
        <w:rPr>
          <w:rFonts w:cstheme="minorHAnsi"/>
          <w:i/>
        </w:rPr>
        <w:t xml:space="preserve"> and PFAC Members</w:t>
      </w:r>
      <w:r w:rsidRPr="003C0C94">
        <w:rPr>
          <w:rFonts w:cstheme="minorHAnsi"/>
          <w:i/>
        </w:rPr>
        <w:t>:</w:t>
      </w:r>
    </w:p>
    <w:p w:rsidR="009F6A10" w:rsidRDefault="009F6A10" w:rsidP="009F6A10">
      <w:pPr>
        <w:spacing w:before="120" w:after="0" w:line="480" w:lineRule="auto"/>
        <w:ind w:firstLine="720"/>
        <w:rPr>
          <w:rFonts w:cstheme="minorHAnsi"/>
        </w:rPr>
      </w:pPr>
      <w:r>
        <w:rPr>
          <w:rFonts w:cstheme="minorHAnsi"/>
        </w:rPr>
        <w:t xml:space="preserve">SHM then asked leaders from relevant professional societies </w:t>
      </w:r>
      <w:r w:rsidR="00896DAF">
        <w:rPr>
          <w:rFonts w:cstheme="minorHAnsi"/>
        </w:rPr>
        <w:t>(Appendix Table 3</w:t>
      </w:r>
      <w:r>
        <w:rPr>
          <w:rFonts w:cstheme="minorHAnsi"/>
        </w:rPr>
        <w:t xml:space="preserve">),SHM members, and  SHM PFAC members to review the recommendations and provide comments over a 30-day period </w:t>
      </w:r>
      <w:r>
        <w:rPr>
          <w:rFonts w:cstheme="minorHAnsi"/>
        </w:rPr>
        <w:lastRenderedPageBreak/>
        <w:t>(from December 18 to January 17, 2017). Comments were collected through an electronic survey which was emailed to the leadership of each of the societies and to SHM PFAC members, and made available to SHM members through the Hospital Medicine Exchange (HMX) forum.</w:t>
      </w:r>
    </w:p>
    <w:p w:rsidR="0069155C" w:rsidRDefault="0069155C" w:rsidP="0069155C">
      <w:pPr>
        <w:spacing w:before="120" w:after="0" w:line="480" w:lineRule="auto"/>
        <w:ind w:firstLine="720"/>
      </w:pPr>
      <w:r>
        <w:t xml:space="preserve">We obtained a response from 55 SHM members, including 45 adult hospitalists, 4 pediatric hospitalists, 4 nurse practitioners, and 2 residents/fellows; and 33 SHM PFAC members. We obtained a response with input from 8 out of 19 (50%) professional societies approached for comment. </w:t>
      </w:r>
    </w:p>
    <w:p w:rsidR="0069155C" w:rsidRDefault="0069155C" w:rsidP="0069155C">
      <w:pPr>
        <w:spacing w:before="120" w:after="0" w:line="480" w:lineRule="auto"/>
        <w:ind w:firstLine="720"/>
        <w:rPr>
          <w:rFonts w:cstheme="minorHAnsi"/>
          <w:i/>
        </w:rPr>
      </w:pPr>
    </w:p>
    <w:p w:rsidR="009F6A10" w:rsidRDefault="009F6A10" w:rsidP="009F6A10">
      <w:pPr>
        <w:spacing w:before="120" w:after="0" w:line="480" w:lineRule="auto"/>
        <w:rPr>
          <w:rFonts w:cstheme="minorHAnsi"/>
          <w:i/>
        </w:rPr>
      </w:pPr>
      <w:r>
        <w:rPr>
          <w:rFonts w:cstheme="minorHAnsi"/>
          <w:i/>
        </w:rPr>
        <w:t>External Peer Review:</w:t>
      </w:r>
    </w:p>
    <w:p w:rsidR="009F6A10" w:rsidRPr="00CB04B5" w:rsidRDefault="009F6A10" w:rsidP="0069155C">
      <w:pPr>
        <w:spacing w:before="120" w:after="0" w:line="480" w:lineRule="auto"/>
        <w:ind w:firstLine="720"/>
        <w:rPr>
          <w:rFonts w:cstheme="minorHAnsi"/>
        </w:rPr>
      </w:pPr>
      <w:r>
        <w:rPr>
          <w:rFonts w:cstheme="minorHAnsi"/>
        </w:rPr>
        <w:t>Finally, the resulting manuscript was submitted to the Journal of Hospital Medicine and revised according to the comments obtained through external peer review</w:t>
      </w:r>
      <w:r w:rsidR="00E028C7">
        <w:rPr>
          <w:rFonts w:cstheme="minorHAnsi"/>
        </w:rPr>
        <w:t>.</w:t>
      </w:r>
    </w:p>
    <w:p w:rsidR="0099063B" w:rsidRPr="00130F2A" w:rsidRDefault="0099063B">
      <w:pPr>
        <w:rPr>
          <w:b/>
        </w:rPr>
      </w:pPr>
      <w:r w:rsidRPr="00130F2A">
        <w:rPr>
          <w:b/>
        </w:rPr>
        <w:br w:type="page"/>
      </w:r>
    </w:p>
    <w:p w:rsidR="00D6440A" w:rsidRPr="00B82CD6" w:rsidRDefault="00B82CD6">
      <w:pPr>
        <w:rPr>
          <w:b/>
          <w:sz w:val="28"/>
          <w:szCs w:val="28"/>
        </w:rPr>
      </w:pPr>
      <w:r>
        <w:rPr>
          <w:b/>
          <w:sz w:val="28"/>
          <w:szCs w:val="28"/>
        </w:rPr>
        <w:lastRenderedPageBreak/>
        <w:t>Appendix Table 1</w:t>
      </w:r>
    </w:p>
    <w:tbl>
      <w:tblPr>
        <w:tblStyle w:val="TableGrid"/>
        <w:tblW w:w="0" w:type="auto"/>
        <w:tblLook w:val="04A0" w:firstRow="1" w:lastRow="0" w:firstColumn="1" w:lastColumn="0" w:noHBand="0" w:noVBand="1"/>
      </w:tblPr>
      <w:tblGrid>
        <w:gridCol w:w="1998"/>
        <w:gridCol w:w="2700"/>
        <w:gridCol w:w="2250"/>
        <w:gridCol w:w="2628"/>
      </w:tblGrid>
      <w:tr w:rsidR="00D6440A" w:rsidTr="003D29FE">
        <w:tc>
          <w:tcPr>
            <w:tcW w:w="9576" w:type="dxa"/>
            <w:gridSpan w:val="4"/>
            <w:tcBorders>
              <w:top w:val="single" w:sz="12" w:space="0" w:color="auto"/>
              <w:bottom w:val="single" w:sz="12" w:space="0" w:color="auto"/>
            </w:tcBorders>
          </w:tcPr>
          <w:p w:rsidR="00D6440A" w:rsidRPr="00EE162B" w:rsidRDefault="00D6440A" w:rsidP="003D29FE">
            <w:pPr>
              <w:rPr>
                <w:rFonts w:cstheme="minorHAnsi"/>
                <w:b/>
              </w:rPr>
            </w:pPr>
            <w:r>
              <w:rPr>
                <w:rFonts w:cstheme="minorHAnsi"/>
                <w:b/>
              </w:rPr>
              <w:t>Appendix Table 1. Working Group M</w:t>
            </w:r>
            <w:r w:rsidRPr="00EE162B">
              <w:rPr>
                <w:rFonts w:cstheme="minorHAnsi"/>
                <w:b/>
              </w:rPr>
              <w:t>embers</w:t>
            </w:r>
          </w:p>
        </w:tc>
      </w:tr>
      <w:tr w:rsidR="00130F2A" w:rsidTr="00130F2A">
        <w:tc>
          <w:tcPr>
            <w:tcW w:w="1998" w:type="dxa"/>
            <w:tcBorders>
              <w:top w:val="single" w:sz="12" w:space="0" w:color="auto"/>
            </w:tcBorders>
            <w:vAlign w:val="bottom"/>
          </w:tcPr>
          <w:p w:rsidR="00D6440A" w:rsidRPr="00EE162B" w:rsidRDefault="00D6440A" w:rsidP="003D29FE">
            <w:pPr>
              <w:rPr>
                <w:rFonts w:cstheme="minorHAnsi"/>
                <w:b/>
              </w:rPr>
            </w:pPr>
            <w:r>
              <w:rPr>
                <w:rFonts w:cstheme="minorHAnsi"/>
                <w:b/>
              </w:rPr>
              <w:t>Name, D</w:t>
            </w:r>
            <w:r w:rsidRPr="00EE162B">
              <w:rPr>
                <w:rFonts w:cstheme="minorHAnsi"/>
                <w:b/>
              </w:rPr>
              <w:t>egree</w:t>
            </w:r>
          </w:p>
        </w:tc>
        <w:tc>
          <w:tcPr>
            <w:tcW w:w="2700" w:type="dxa"/>
            <w:tcBorders>
              <w:top w:val="single" w:sz="12" w:space="0" w:color="auto"/>
            </w:tcBorders>
            <w:vAlign w:val="bottom"/>
          </w:tcPr>
          <w:p w:rsidR="00D6440A" w:rsidRPr="00EE162B" w:rsidRDefault="00D6440A" w:rsidP="003D29FE">
            <w:pPr>
              <w:rPr>
                <w:rFonts w:cstheme="minorHAnsi"/>
                <w:b/>
              </w:rPr>
            </w:pPr>
            <w:r w:rsidRPr="00EE162B">
              <w:rPr>
                <w:rFonts w:cstheme="minorHAnsi"/>
                <w:b/>
              </w:rPr>
              <w:t>Academic Titles, Affiliations</w:t>
            </w:r>
          </w:p>
        </w:tc>
        <w:tc>
          <w:tcPr>
            <w:tcW w:w="2250" w:type="dxa"/>
            <w:tcBorders>
              <w:top w:val="single" w:sz="12" w:space="0" w:color="auto"/>
            </w:tcBorders>
            <w:vAlign w:val="bottom"/>
          </w:tcPr>
          <w:p w:rsidR="00D6440A" w:rsidRPr="00EE162B" w:rsidRDefault="00D6440A" w:rsidP="003D29FE">
            <w:pPr>
              <w:rPr>
                <w:rFonts w:cstheme="minorHAnsi"/>
                <w:b/>
              </w:rPr>
            </w:pPr>
            <w:r w:rsidRPr="00EE162B">
              <w:rPr>
                <w:rFonts w:cstheme="minorHAnsi"/>
                <w:b/>
              </w:rPr>
              <w:t>Clinical Roles, Affiliations</w:t>
            </w:r>
          </w:p>
        </w:tc>
        <w:tc>
          <w:tcPr>
            <w:tcW w:w="2628" w:type="dxa"/>
            <w:tcBorders>
              <w:top w:val="single" w:sz="12" w:space="0" w:color="auto"/>
            </w:tcBorders>
            <w:vAlign w:val="bottom"/>
          </w:tcPr>
          <w:p w:rsidR="00D6440A" w:rsidRPr="00EE162B" w:rsidRDefault="00130F2A" w:rsidP="003D29FE">
            <w:pPr>
              <w:rPr>
                <w:rFonts w:cstheme="minorHAnsi"/>
                <w:b/>
              </w:rPr>
            </w:pPr>
            <w:r>
              <w:rPr>
                <w:rFonts w:cstheme="minorHAnsi"/>
                <w:b/>
              </w:rPr>
              <w:t xml:space="preserve">Potential </w:t>
            </w:r>
            <w:r w:rsidR="00D6440A" w:rsidRPr="00EE162B">
              <w:rPr>
                <w:rFonts w:cstheme="minorHAnsi"/>
                <w:b/>
              </w:rPr>
              <w:t>Conflicts of Interest</w:t>
            </w:r>
          </w:p>
        </w:tc>
      </w:tr>
      <w:tr w:rsidR="00130F2A" w:rsidTr="00130F2A">
        <w:tc>
          <w:tcPr>
            <w:tcW w:w="1998" w:type="dxa"/>
          </w:tcPr>
          <w:p w:rsidR="00D6440A" w:rsidRDefault="00D6440A" w:rsidP="003D29FE">
            <w:pPr>
              <w:rPr>
                <w:rFonts w:cstheme="minorHAnsi"/>
              </w:rPr>
            </w:pPr>
            <w:r>
              <w:rPr>
                <w:rFonts w:cstheme="minorHAnsi"/>
              </w:rPr>
              <w:t>Shoshana J. Herzig, MD MPH</w:t>
            </w:r>
          </w:p>
        </w:tc>
        <w:tc>
          <w:tcPr>
            <w:tcW w:w="2700" w:type="dxa"/>
          </w:tcPr>
          <w:p w:rsidR="00D6440A" w:rsidRDefault="00D6440A" w:rsidP="003D29FE">
            <w:pPr>
              <w:rPr>
                <w:rFonts w:cstheme="minorHAnsi"/>
              </w:rPr>
            </w:pPr>
            <w:r>
              <w:rPr>
                <w:rFonts w:cstheme="minorHAnsi"/>
              </w:rPr>
              <w:t xml:space="preserve">Assistant Professor of Medicine, Harvard Medical School, Boston, MA; </w:t>
            </w:r>
          </w:p>
          <w:p w:rsidR="00D6440A" w:rsidRDefault="00D6440A" w:rsidP="003D29FE">
            <w:pPr>
              <w:rPr>
                <w:rFonts w:cstheme="minorHAnsi"/>
              </w:rPr>
            </w:pPr>
            <w:r>
              <w:rPr>
                <w:rFonts w:cstheme="minorHAnsi"/>
              </w:rPr>
              <w:t>Director of Hospital Medicine Research, Beth Israel Deaconess Medical Center, Boston, MA</w:t>
            </w:r>
          </w:p>
        </w:tc>
        <w:tc>
          <w:tcPr>
            <w:tcW w:w="2250" w:type="dxa"/>
          </w:tcPr>
          <w:p w:rsidR="00D6440A" w:rsidRDefault="00D6440A" w:rsidP="003D29FE">
            <w:pPr>
              <w:rPr>
                <w:rFonts w:cstheme="minorHAnsi"/>
              </w:rPr>
            </w:pPr>
            <w:r>
              <w:rPr>
                <w:rFonts w:cstheme="minorHAnsi"/>
              </w:rPr>
              <w:t>Hospitalist, Beth Israel Deaconess Medical Center, Boston, MA</w:t>
            </w:r>
          </w:p>
        </w:tc>
        <w:tc>
          <w:tcPr>
            <w:tcW w:w="2628" w:type="dxa"/>
          </w:tcPr>
          <w:p w:rsidR="00D6440A" w:rsidRDefault="00130F2A" w:rsidP="003D29FE">
            <w:pPr>
              <w:rPr>
                <w:rFonts w:cstheme="minorHAnsi"/>
              </w:rPr>
            </w:pPr>
            <w:r>
              <w:rPr>
                <w:rFonts w:cstheme="minorHAnsi"/>
              </w:rPr>
              <w:t>Receives compensation from the Society of Hospital Medicine for her editorial role at the Journal of Hospital Medicine (unrelated to the present work)</w:t>
            </w:r>
          </w:p>
        </w:tc>
      </w:tr>
      <w:tr w:rsidR="00130F2A" w:rsidTr="00130F2A">
        <w:tc>
          <w:tcPr>
            <w:tcW w:w="1998" w:type="dxa"/>
          </w:tcPr>
          <w:p w:rsidR="00D6440A" w:rsidRDefault="00D6440A" w:rsidP="003D29FE">
            <w:pPr>
              <w:rPr>
                <w:rFonts w:cstheme="minorHAnsi"/>
              </w:rPr>
            </w:pPr>
            <w:r>
              <w:rPr>
                <w:rFonts w:cstheme="minorHAnsi"/>
              </w:rPr>
              <w:t>Hilary J. Mosher, MD</w:t>
            </w:r>
          </w:p>
        </w:tc>
        <w:tc>
          <w:tcPr>
            <w:tcW w:w="2700" w:type="dxa"/>
          </w:tcPr>
          <w:p w:rsidR="00D6440A" w:rsidRDefault="00D6440A" w:rsidP="003D29FE">
            <w:pPr>
              <w:rPr>
                <w:sz w:val="24"/>
                <w:szCs w:val="24"/>
              </w:rPr>
            </w:pPr>
            <w:r>
              <w:t>Associate Professor of Medicine, University of Iowa Carver College of Medicine, Iowa City, IA</w:t>
            </w:r>
          </w:p>
        </w:tc>
        <w:tc>
          <w:tcPr>
            <w:tcW w:w="2250" w:type="dxa"/>
          </w:tcPr>
          <w:p w:rsidR="00D6440A" w:rsidRDefault="00D6440A" w:rsidP="003D29FE">
            <w:pPr>
              <w:rPr>
                <w:sz w:val="24"/>
                <w:szCs w:val="24"/>
              </w:rPr>
            </w:pPr>
            <w:r>
              <w:t>Hospitalist, Iowa City VAHCS and University of Iowa Hospitals and Clinics, Iowa City, IA</w:t>
            </w:r>
          </w:p>
        </w:tc>
        <w:tc>
          <w:tcPr>
            <w:tcW w:w="2628" w:type="dxa"/>
          </w:tcPr>
          <w:p w:rsidR="00D6440A" w:rsidRDefault="00D6440A" w:rsidP="003D29FE">
            <w:r>
              <w:t>None</w:t>
            </w:r>
          </w:p>
        </w:tc>
      </w:tr>
      <w:tr w:rsidR="00130F2A" w:rsidTr="00130F2A">
        <w:tc>
          <w:tcPr>
            <w:tcW w:w="1998" w:type="dxa"/>
          </w:tcPr>
          <w:p w:rsidR="00D6440A" w:rsidRDefault="00D6440A" w:rsidP="003D29FE">
            <w:pPr>
              <w:rPr>
                <w:rFonts w:cstheme="minorHAnsi"/>
              </w:rPr>
            </w:pPr>
            <w:r w:rsidRPr="00007198">
              <w:rPr>
                <w:rFonts w:cstheme="minorHAnsi"/>
              </w:rPr>
              <w:t xml:space="preserve">Susan L. </w:t>
            </w:r>
            <w:proofErr w:type="spellStart"/>
            <w:r w:rsidRPr="00007198">
              <w:rPr>
                <w:rFonts w:cstheme="minorHAnsi"/>
              </w:rPr>
              <w:t>Calcaterra</w:t>
            </w:r>
            <w:proofErr w:type="spellEnd"/>
            <w:r w:rsidRPr="00007198">
              <w:rPr>
                <w:rFonts w:cstheme="minorHAnsi"/>
              </w:rPr>
              <w:t>, MD MPH</w:t>
            </w:r>
          </w:p>
        </w:tc>
        <w:tc>
          <w:tcPr>
            <w:tcW w:w="2700" w:type="dxa"/>
          </w:tcPr>
          <w:p w:rsidR="00D6440A" w:rsidRDefault="00D6440A" w:rsidP="003D29FE">
            <w:pPr>
              <w:rPr>
                <w:rFonts w:cstheme="minorHAnsi"/>
              </w:rPr>
            </w:pPr>
            <w:r>
              <w:rPr>
                <w:rFonts w:cstheme="minorHAnsi"/>
              </w:rPr>
              <w:t>Assistant Professor of Medicine, University of Colorado Denver, Denver, CO</w:t>
            </w:r>
          </w:p>
        </w:tc>
        <w:tc>
          <w:tcPr>
            <w:tcW w:w="2250" w:type="dxa"/>
          </w:tcPr>
          <w:p w:rsidR="00D6440A" w:rsidRDefault="00D6440A" w:rsidP="003D29FE">
            <w:pPr>
              <w:rPr>
                <w:rFonts w:cstheme="minorHAnsi"/>
              </w:rPr>
            </w:pPr>
            <w:r>
              <w:rPr>
                <w:rFonts w:cstheme="minorHAnsi"/>
              </w:rPr>
              <w:t>Hospitalist and Fellow in Addiction Medicine, University of Colorado Denver, Denver, CO</w:t>
            </w:r>
          </w:p>
        </w:tc>
        <w:tc>
          <w:tcPr>
            <w:tcW w:w="2628" w:type="dxa"/>
          </w:tcPr>
          <w:p w:rsidR="00D6440A" w:rsidRDefault="00D6440A" w:rsidP="003D29FE">
            <w:pPr>
              <w:rPr>
                <w:rFonts w:cstheme="minorHAnsi"/>
              </w:rPr>
            </w:pPr>
            <w:r>
              <w:rPr>
                <w:rFonts w:cstheme="minorHAnsi"/>
              </w:rPr>
              <w:t>None</w:t>
            </w:r>
          </w:p>
        </w:tc>
      </w:tr>
      <w:tr w:rsidR="00130F2A" w:rsidTr="00130F2A">
        <w:tc>
          <w:tcPr>
            <w:tcW w:w="1998" w:type="dxa"/>
            <w:tcBorders>
              <w:bottom w:val="single" w:sz="4" w:space="0" w:color="auto"/>
            </w:tcBorders>
          </w:tcPr>
          <w:p w:rsidR="00D6440A" w:rsidRDefault="00D6440A" w:rsidP="003D29FE">
            <w:pPr>
              <w:rPr>
                <w:rFonts w:cstheme="minorHAnsi"/>
              </w:rPr>
            </w:pPr>
            <w:proofErr w:type="spellStart"/>
            <w:r>
              <w:rPr>
                <w:rFonts w:cstheme="minorHAnsi"/>
              </w:rPr>
              <w:t>Anupam</w:t>
            </w:r>
            <w:proofErr w:type="spellEnd"/>
            <w:r>
              <w:rPr>
                <w:rFonts w:cstheme="minorHAnsi"/>
              </w:rPr>
              <w:t xml:space="preserve"> B. Jena, MD PhD</w:t>
            </w:r>
          </w:p>
        </w:tc>
        <w:tc>
          <w:tcPr>
            <w:tcW w:w="2700" w:type="dxa"/>
            <w:tcBorders>
              <w:bottom w:val="single" w:sz="4" w:space="0" w:color="auto"/>
            </w:tcBorders>
          </w:tcPr>
          <w:p w:rsidR="00D6440A" w:rsidRDefault="00D6440A" w:rsidP="003D29FE">
            <w:pPr>
              <w:rPr>
                <w:rFonts w:ascii="Calibri" w:hAnsi="Calibri" w:cs="Calibri"/>
              </w:rPr>
            </w:pPr>
            <w:r>
              <w:t>Ruth L. Newhouse Associate Professor of Health Care Policy and Medicine, Harvard Medical School, Boston, MA;</w:t>
            </w:r>
          </w:p>
          <w:p w:rsidR="00D6440A" w:rsidRPr="00BB0B17" w:rsidRDefault="00D6440A" w:rsidP="003D29FE">
            <w:pPr>
              <w:rPr>
                <w:rFonts w:ascii="Calibri" w:hAnsi="Calibri" w:cs="Calibri"/>
              </w:rPr>
            </w:pPr>
            <w:r>
              <w:t>Faculty Research Fellow, National Bureau of Economic Research, Cambridge, MA</w:t>
            </w:r>
          </w:p>
        </w:tc>
        <w:tc>
          <w:tcPr>
            <w:tcW w:w="2250" w:type="dxa"/>
            <w:tcBorders>
              <w:bottom w:val="single" w:sz="4" w:space="0" w:color="auto"/>
            </w:tcBorders>
          </w:tcPr>
          <w:p w:rsidR="00D6440A" w:rsidRDefault="00D6440A" w:rsidP="003D29FE">
            <w:r>
              <w:t>Hospitalist, Massachusetts General Hospital, Boston, MA</w:t>
            </w:r>
          </w:p>
          <w:p w:rsidR="00D6440A" w:rsidRDefault="00D6440A" w:rsidP="003D29FE">
            <w:pPr>
              <w:rPr>
                <w:rFonts w:cstheme="minorHAnsi"/>
              </w:rPr>
            </w:pPr>
          </w:p>
        </w:tc>
        <w:tc>
          <w:tcPr>
            <w:tcW w:w="2628" w:type="dxa"/>
            <w:tcBorders>
              <w:bottom w:val="single" w:sz="4" w:space="0" w:color="auto"/>
            </w:tcBorders>
          </w:tcPr>
          <w:p w:rsidR="00D6440A" w:rsidRDefault="00130F2A" w:rsidP="00130F2A">
            <w:pPr>
              <w:rPr>
                <w:rFonts w:cstheme="minorHAnsi"/>
              </w:rPr>
            </w:pPr>
            <w:r>
              <w:t>Has received consulting fees from Pfizer, Inc., Hill Rom Services, Inc., Bristol Myers Squibb, Novartis Pharmaceuticals, Vertex Pharmaceuticals, and Precision Health Economics, a consultancy to the life sciences industry (all unrelated to the present work).</w:t>
            </w:r>
          </w:p>
        </w:tc>
      </w:tr>
      <w:tr w:rsidR="00130F2A" w:rsidTr="00130F2A">
        <w:tc>
          <w:tcPr>
            <w:tcW w:w="1998" w:type="dxa"/>
            <w:tcBorders>
              <w:bottom w:val="single" w:sz="12" w:space="0" w:color="auto"/>
            </w:tcBorders>
          </w:tcPr>
          <w:p w:rsidR="00D6440A" w:rsidRDefault="00D6440A" w:rsidP="003D29FE">
            <w:pPr>
              <w:rPr>
                <w:rFonts w:cstheme="minorHAnsi"/>
              </w:rPr>
            </w:pPr>
            <w:proofErr w:type="spellStart"/>
            <w:r>
              <w:rPr>
                <w:rFonts w:cstheme="minorHAnsi"/>
              </w:rPr>
              <w:t>Teryl</w:t>
            </w:r>
            <w:proofErr w:type="spellEnd"/>
            <w:r>
              <w:rPr>
                <w:rFonts w:cstheme="minorHAnsi"/>
              </w:rPr>
              <w:t xml:space="preserve"> </w:t>
            </w:r>
            <w:r w:rsidR="00E028C7">
              <w:rPr>
                <w:rFonts w:cstheme="minorHAnsi"/>
              </w:rPr>
              <w:t xml:space="preserve">K. </w:t>
            </w:r>
            <w:proofErr w:type="spellStart"/>
            <w:r>
              <w:rPr>
                <w:rFonts w:cstheme="minorHAnsi"/>
              </w:rPr>
              <w:t>Nuckols</w:t>
            </w:r>
            <w:proofErr w:type="spellEnd"/>
            <w:r>
              <w:rPr>
                <w:rFonts w:cstheme="minorHAnsi"/>
              </w:rPr>
              <w:t>, MD</w:t>
            </w:r>
          </w:p>
        </w:tc>
        <w:tc>
          <w:tcPr>
            <w:tcW w:w="2700" w:type="dxa"/>
            <w:tcBorders>
              <w:bottom w:val="single" w:sz="12" w:space="0" w:color="auto"/>
            </w:tcBorders>
          </w:tcPr>
          <w:p w:rsidR="00D6440A" w:rsidRDefault="00D6440A" w:rsidP="003D29FE">
            <w:pPr>
              <w:rPr>
                <w:rFonts w:cstheme="minorHAnsi"/>
              </w:rPr>
            </w:pPr>
            <w:r w:rsidRPr="001C63F0">
              <w:rPr>
                <w:rFonts w:cstheme="minorHAnsi"/>
              </w:rPr>
              <w:t>Associate Professor of Medicine, David Geffen School of Medicine at UCLA</w:t>
            </w:r>
            <w:r>
              <w:rPr>
                <w:rFonts w:cstheme="minorHAnsi"/>
              </w:rPr>
              <w:t>, Los Angeles, CA</w:t>
            </w:r>
            <w:r w:rsidRPr="001C63F0">
              <w:rPr>
                <w:rFonts w:cstheme="minorHAnsi"/>
              </w:rPr>
              <w:t xml:space="preserve">; </w:t>
            </w:r>
          </w:p>
          <w:p w:rsidR="00D6440A" w:rsidRDefault="00D6440A" w:rsidP="003D29FE">
            <w:pPr>
              <w:rPr>
                <w:rFonts w:cstheme="minorHAnsi"/>
              </w:rPr>
            </w:pPr>
            <w:r w:rsidRPr="001C63F0">
              <w:rPr>
                <w:rFonts w:cstheme="minorHAnsi"/>
              </w:rPr>
              <w:t>Associate Professor of Medicine, Cedars-Sinai Medical Center</w:t>
            </w:r>
            <w:r>
              <w:rPr>
                <w:rFonts w:cstheme="minorHAnsi"/>
              </w:rPr>
              <w:t>, Los Angeles, CA</w:t>
            </w:r>
            <w:r w:rsidRPr="001C63F0">
              <w:rPr>
                <w:rFonts w:cstheme="minorHAnsi"/>
              </w:rPr>
              <w:t>;</w:t>
            </w:r>
            <w:r>
              <w:rPr>
                <w:rFonts w:cstheme="minorHAnsi"/>
              </w:rPr>
              <w:t xml:space="preserve"> </w:t>
            </w:r>
          </w:p>
          <w:p w:rsidR="00D6440A" w:rsidRDefault="00D6440A" w:rsidP="003D29FE">
            <w:pPr>
              <w:rPr>
                <w:rFonts w:cstheme="minorHAnsi"/>
              </w:rPr>
            </w:pPr>
            <w:r w:rsidRPr="001C63F0">
              <w:rPr>
                <w:rFonts w:cstheme="minorHAnsi"/>
              </w:rPr>
              <w:t>Director, Division of General Internal Medicine, Cedars-Sinai Medical Center</w:t>
            </w:r>
            <w:r>
              <w:rPr>
                <w:rFonts w:cstheme="minorHAnsi"/>
              </w:rPr>
              <w:t>, Los Angeles, CA</w:t>
            </w:r>
            <w:r w:rsidRPr="001C63F0">
              <w:rPr>
                <w:rFonts w:cstheme="minorHAnsi"/>
              </w:rPr>
              <w:t xml:space="preserve">; </w:t>
            </w:r>
          </w:p>
          <w:p w:rsidR="00D6440A" w:rsidRPr="001C63F0" w:rsidRDefault="00D6440A" w:rsidP="003D29FE">
            <w:pPr>
              <w:rPr>
                <w:rFonts w:cstheme="minorHAnsi"/>
              </w:rPr>
            </w:pPr>
            <w:r w:rsidRPr="001C63F0">
              <w:rPr>
                <w:rFonts w:cstheme="minorHAnsi"/>
              </w:rPr>
              <w:t>Health Services Researcher, RAND Corporation</w:t>
            </w:r>
            <w:r>
              <w:rPr>
                <w:rFonts w:cstheme="minorHAnsi"/>
              </w:rPr>
              <w:t>, Santa Monica, CA</w:t>
            </w:r>
          </w:p>
        </w:tc>
        <w:tc>
          <w:tcPr>
            <w:tcW w:w="2250" w:type="dxa"/>
            <w:tcBorders>
              <w:bottom w:val="single" w:sz="12" w:space="0" w:color="auto"/>
            </w:tcBorders>
          </w:tcPr>
          <w:p w:rsidR="00D6440A" w:rsidRPr="001C63F0" w:rsidRDefault="00D6440A" w:rsidP="003D29FE">
            <w:pPr>
              <w:rPr>
                <w:rFonts w:cstheme="minorHAnsi"/>
              </w:rPr>
            </w:pPr>
            <w:r w:rsidRPr="001C63F0">
              <w:rPr>
                <w:rFonts w:cstheme="minorHAnsi"/>
              </w:rPr>
              <w:t>Hospitalist, Cedars-Sinai Medical Center</w:t>
            </w:r>
            <w:r>
              <w:rPr>
                <w:rFonts w:cstheme="minorHAnsi"/>
              </w:rPr>
              <w:t>, Los Angeles, CA</w:t>
            </w:r>
          </w:p>
        </w:tc>
        <w:tc>
          <w:tcPr>
            <w:tcW w:w="2628" w:type="dxa"/>
            <w:tcBorders>
              <w:bottom w:val="single" w:sz="12" w:space="0" w:color="auto"/>
            </w:tcBorders>
          </w:tcPr>
          <w:p w:rsidR="00D6440A" w:rsidRDefault="00D6440A" w:rsidP="003D29FE">
            <w:pPr>
              <w:rPr>
                <w:rFonts w:cstheme="minorHAnsi"/>
              </w:rPr>
            </w:pPr>
            <w:r>
              <w:rPr>
                <w:rFonts w:cstheme="minorHAnsi"/>
              </w:rPr>
              <w:t>None</w:t>
            </w:r>
          </w:p>
        </w:tc>
      </w:tr>
    </w:tbl>
    <w:p w:rsidR="00896DAF" w:rsidRDefault="00896DAF" w:rsidP="00D6440A">
      <w:pPr>
        <w:rPr>
          <w:rFonts w:cstheme="minorHAnsi"/>
          <w:b/>
          <w:sz w:val="28"/>
          <w:szCs w:val="28"/>
        </w:rPr>
      </w:pPr>
    </w:p>
    <w:p w:rsidR="00B82CD6" w:rsidRDefault="00B82CD6" w:rsidP="00D6440A">
      <w:pPr>
        <w:rPr>
          <w:rFonts w:cstheme="minorHAnsi"/>
          <w:b/>
          <w:sz w:val="28"/>
          <w:szCs w:val="28"/>
        </w:rPr>
      </w:pPr>
      <w:r>
        <w:rPr>
          <w:rFonts w:cstheme="minorHAnsi"/>
          <w:b/>
          <w:sz w:val="28"/>
          <w:szCs w:val="28"/>
        </w:rPr>
        <w:lastRenderedPageBreak/>
        <w:t>Appendix Table 2</w:t>
      </w:r>
    </w:p>
    <w:tbl>
      <w:tblPr>
        <w:tblStyle w:val="TableGrid"/>
        <w:tblpPr w:leftFromText="180" w:rightFromText="180" w:vertAnchor="text" w:horzAnchor="margin" w:tblpY="31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1530"/>
        <w:gridCol w:w="1530"/>
        <w:gridCol w:w="2250"/>
      </w:tblGrid>
      <w:tr w:rsidR="00896DAF" w:rsidTr="00896DAF">
        <w:tc>
          <w:tcPr>
            <w:tcW w:w="7118" w:type="dxa"/>
            <w:gridSpan w:val="4"/>
            <w:tcBorders>
              <w:top w:val="single" w:sz="12" w:space="0" w:color="auto"/>
              <w:bottom w:val="single" w:sz="12" w:space="0" w:color="auto"/>
            </w:tcBorders>
          </w:tcPr>
          <w:p w:rsidR="00896DAF" w:rsidRPr="00EE36CC" w:rsidRDefault="00896DAF" w:rsidP="00896DAF">
            <w:pPr>
              <w:rPr>
                <w:rFonts w:cstheme="minorHAnsi"/>
                <w:b/>
              </w:rPr>
            </w:pPr>
            <w:r w:rsidRPr="00EE36CC">
              <w:rPr>
                <w:rFonts w:cstheme="minorHAnsi"/>
                <w:b/>
              </w:rPr>
              <w:t xml:space="preserve">Appendix Table </w:t>
            </w:r>
            <w:r>
              <w:rPr>
                <w:rFonts w:cstheme="minorHAnsi"/>
                <w:b/>
              </w:rPr>
              <w:t>2</w:t>
            </w:r>
            <w:r w:rsidRPr="00EE36CC">
              <w:rPr>
                <w:rFonts w:cstheme="minorHAnsi"/>
                <w:b/>
              </w:rPr>
              <w:t xml:space="preserve">. Validity ratings by </w:t>
            </w:r>
            <w:r w:rsidRPr="00EE36CC">
              <w:rPr>
                <w:b/>
              </w:rPr>
              <w:t>the Society of Hospital Medicine’s Reducing Adverse Drug Events Related to Opioids (RADEO) initiative</w:t>
            </w:r>
            <w:r w:rsidRPr="00EE36CC">
              <w:rPr>
                <w:rFonts w:cstheme="minorHAnsi"/>
                <w:b/>
              </w:rPr>
              <w:t xml:space="preserve"> expert reviewers</w:t>
            </w:r>
          </w:p>
        </w:tc>
      </w:tr>
      <w:tr w:rsidR="00896DAF" w:rsidTr="00896DAF">
        <w:tc>
          <w:tcPr>
            <w:tcW w:w="1808" w:type="dxa"/>
            <w:tcBorders>
              <w:top w:val="single" w:sz="12" w:space="0" w:color="auto"/>
              <w:bottom w:val="single" w:sz="4" w:space="0" w:color="auto"/>
            </w:tcBorders>
            <w:vAlign w:val="bottom"/>
          </w:tcPr>
          <w:p w:rsidR="00896DAF" w:rsidRDefault="00896DAF" w:rsidP="00896DAF">
            <w:pPr>
              <w:jc w:val="center"/>
              <w:rPr>
                <w:rFonts w:cstheme="minorHAnsi"/>
              </w:rPr>
            </w:pPr>
            <w:r>
              <w:rPr>
                <w:rFonts w:cstheme="minorHAnsi"/>
              </w:rPr>
              <w:t>Recommendation</w:t>
            </w:r>
          </w:p>
        </w:tc>
        <w:tc>
          <w:tcPr>
            <w:tcW w:w="1530" w:type="dxa"/>
            <w:tcBorders>
              <w:top w:val="single" w:sz="12" w:space="0" w:color="auto"/>
              <w:bottom w:val="single" w:sz="4" w:space="0" w:color="auto"/>
            </w:tcBorders>
            <w:vAlign w:val="bottom"/>
          </w:tcPr>
          <w:p w:rsidR="00896DAF" w:rsidRDefault="00896DAF" w:rsidP="00896DAF">
            <w:pPr>
              <w:jc w:val="center"/>
              <w:rPr>
                <w:rFonts w:cstheme="minorHAnsi"/>
              </w:rPr>
            </w:pPr>
            <w:r>
              <w:rPr>
                <w:rFonts w:cstheme="minorHAnsi"/>
              </w:rPr>
              <w:t>Median</w:t>
            </w:r>
          </w:p>
        </w:tc>
        <w:tc>
          <w:tcPr>
            <w:tcW w:w="1530" w:type="dxa"/>
            <w:tcBorders>
              <w:top w:val="single" w:sz="12" w:space="0" w:color="auto"/>
              <w:bottom w:val="single" w:sz="4" w:space="0" w:color="auto"/>
            </w:tcBorders>
            <w:vAlign w:val="bottom"/>
          </w:tcPr>
          <w:p w:rsidR="00896DAF" w:rsidRDefault="00896DAF" w:rsidP="00896DAF">
            <w:pPr>
              <w:jc w:val="center"/>
              <w:rPr>
                <w:rFonts w:cstheme="minorHAnsi"/>
              </w:rPr>
            </w:pPr>
            <w:r>
              <w:rPr>
                <w:rFonts w:cstheme="minorHAnsi"/>
              </w:rPr>
              <w:t>Range</w:t>
            </w:r>
          </w:p>
        </w:tc>
        <w:tc>
          <w:tcPr>
            <w:tcW w:w="2250" w:type="dxa"/>
            <w:tcBorders>
              <w:top w:val="single" w:sz="12" w:space="0" w:color="auto"/>
              <w:bottom w:val="single" w:sz="4" w:space="0" w:color="auto"/>
            </w:tcBorders>
            <w:vAlign w:val="bottom"/>
          </w:tcPr>
          <w:p w:rsidR="00896DAF" w:rsidRDefault="00896DAF" w:rsidP="00896DAF">
            <w:pPr>
              <w:jc w:val="center"/>
              <w:rPr>
                <w:rFonts w:cstheme="minorHAnsi"/>
              </w:rPr>
            </w:pPr>
            <w:r>
              <w:rPr>
                <w:rFonts w:cstheme="minorHAnsi"/>
              </w:rPr>
              <w:t>n(%) rating statement as valid (i.e., ≥7)</w:t>
            </w:r>
          </w:p>
        </w:tc>
      </w:tr>
      <w:tr w:rsidR="00896DAF" w:rsidTr="00896DAF">
        <w:tc>
          <w:tcPr>
            <w:tcW w:w="1808" w:type="dxa"/>
            <w:tcBorders>
              <w:top w:val="single" w:sz="4" w:space="0" w:color="auto"/>
            </w:tcBorders>
          </w:tcPr>
          <w:p w:rsidR="00896DAF" w:rsidRDefault="00896DAF" w:rsidP="00896DAF">
            <w:pPr>
              <w:jc w:val="center"/>
              <w:rPr>
                <w:rFonts w:cstheme="minorHAnsi"/>
              </w:rPr>
            </w:pPr>
            <w:r>
              <w:rPr>
                <w:rFonts w:cstheme="minorHAnsi"/>
              </w:rPr>
              <w:t>1</w:t>
            </w:r>
          </w:p>
        </w:tc>
        <w:tc>
          <w:tcPr>
            <w:tcW w:w="1530" w:type="dxa"/>
            <w:tcBorders>
              <w:top w:val="single" w:sz="4" w:space="0" w:color="auto"/>
            </w:tcBorders>
          </w:tcPr>
          <w:p w:rsidR="00896DAF" w:rsidRDefault="00896DAF" w:rsidP="00896DAF">
            <w:pPr>
              <w:jc w:val="center"/>
              <w:rPr>
                <w:rFonts w:cstheme="minorHAnsi"/>
              </w:rPr>
            </w:pPr>
            <w:r>
              <w:rPr>
                <w:rFonts w:cstheme="minorHAnsi"/>
              </w:rPr>
              <w:t>8</w:t>
            </w:r>
          </w:p>
        </w:tc>
        <w:tc>
          <w:tcPr>
            <w:tcW w:w="1530" w:type="dxa"/>
            <w:tcBorders>
              <w:top w:val="single" w:sz="4" w:space="0" w:color="auto"/>
            </w:tcBorders>
          </w:tcPr>
          <w:p w:rsidR="00896DAF" w:rsidRDefault="00896DAF" w:rsidP="00896DAF">
            <w:pPr>
              <w:jc w:val="center"/>
              <w:rPr>
                <w:rFonts w:cstheme="minorHAnsi"/>
              </w:rPr>
            </w:pPr>
            <w:r>
              <w:rPr>
                <w:rFonts w:cstheme="minorHAnsi"/>
              </w:rPr>
              <w:t>5-9</w:t>
            </w:r>
          </w:p>
        </w:tc>
        <w:tc>
          <w:tcPr>
            <w:tcW w:w="2250" w:type="dxa"/>
            <w:tcBorders>
              <w:top w:val="single" w:sz="4" w:space="0" w:color="auto"/>
            </w:tcBorders>
          </w:tcPr>
          <w:p w:rsidR="00896DAF" w:rsidRDefault="00896DAF" w:rsidP="00896DAF">
            <w:pPr>
              <w:jc w:val="center"/>
              <w:rPr>
                <w:rFonts w:cstheme="minorHAnsi"/>
              </w:rPr>
            </w:pPr>
            <w:r>
              <w:rPr>
                <w:rFonts w:cstheme="minorHAnsi"/>
              </w:rPr>
              <w:t>59 (95.2)</w:t>
            </w:r>
          </w:p>
        </w:tc>
      </w:tr>
      <w:tr w:rsidR="00896DAF" w:rsidTr="00896DAF">
        <w:tc>
          <w:tcPr>
            <w:tcW w:w="1808" w:type="dxa"/>
          </w:tcPr>
          <w:p w:rsidR="00896DAF" w:rsidRDefault="00896DAF" w:rsidP="00896DAF">
            <w:pPr>
              <w:jc w:val="center"/>
              <w:rPr>
                <w:rFonts w:cstheme="minorHAnsi"/>
              </w:rPr>
            </w:pPr>
            <w:r>
              <w:rPr>
                <w:rFonts w:cstheme="minorHAnsi"/>
              </w:rPr>
              <w:t>2</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5-9</w:t>
            </w:r>
          </w:p>
        </w:tc>
        <w:tc>
          <w:tcPr>
            <w:tcW w:w="2250" w:type="dxa"/>
          </w:tcPr>
          <w:p w:rsidR="00896DAF" w:rsidRDefault="00896DAF" w:rsidP="00896DAF">
            <w:pPr>
              <w:jc w:val="center"/>
              <w:rPr>
                <w:rFonts w:cstheme="minorHAnsi"/>
              </w:rPr>
            </w:pPr>
            <w:r>
              <w:rPr>
                <w:rFonts w:cstheme="minorHAnsi"/>
              </w:rPr>
              <w:t>60 (96.8)</w:t>
            </w:r>
          </w:p>
        </w:tc>
      </w:tr>
      <w:tr w:rsidR="00896DAF" w:rsidTr="00896DAF">
        <w:tc>
          <w:tcPr>
            <w:tcW w:w="1808" w:type="dxa"/>
          </w:tcPr>
          <w:p w:rsidR="00896DAF" w:rsidRDefault="00896DAF" w:rsidP="00896DAF">
            <w:pPr>
              <w:jc w:val="center"/>
              <w:rPr>
                <w:rFonts w:cstheme="minorHAnsi"/>
              </w:rPr>
            </w:pPr>
            <w:r>
              <w:rPr>
                <w:rFonts w:cstheme="minorHAnsi"/>
              </w:rPr>
              <w:t>3</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3-9</w:t>
            </w:r>
          </w:p>
        </w:tc>
        <w:tc>
          <w:tcPr>
            <w:tcW w:w="2250" w:type="dxa"/>
          </w:tcPr>
          <w:p w:rsidR="00896DAF" w:rsidRDefault="00896DAF" w:rsidP="00896DAF">
            <w:pPr>
              <w:jc w:val="center"/>
              <w:rPr>
                <w:rFonts w:cstheme="minorHAnsi"/>
              </w:rPr>
            </w:pPr>
            <w:r>
              <w:rPr>
                <w:rFonts w:cstheme="minorHAnsi"/>
              </w:rPr>
              <w:t>56 (90.3)</w:t>
            </w:r>
          </w:p>
        </w:tc>
      </w:tr>
      <w:tr w:rsidR="00896DAF" w:rsidTr="00896DAF">
        <w:tc>
          <w:tcPr>
            <w:tcW w:w="1808" w:type="dxa"/>
          </w:tcPr>
          <w:p w:rsidR="00896DAF" w:rsidRDefault="00896DAF" w:rsidP="00896DAF">
            <w:pPr>
              <w:jc w:val="center"/>
              <w:rPr>
                <w:rFonts w:cstheme="minorHAnsi"/>
              </w:rPr>
            </w:pPr>
            <w:r>
              <w:rPr>
                <w:rFonts w:cstheme="minorHAnsi"/>
              </w:rPr>
              <w:t>4</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4-9</w:t>
            </w:r>
          </w:p>
        </w:tc>
        <w:tc>
          <w:tcPr>
            <w:tcW w:w="2250" w:type="dxa"/>
          </w:tcPr>
          <w:p w:rsidR="00896DAF" w:rsidRDefault="00896DAF" w:rsidP="00896DAF">
            <w:pPr>
              <w:jc w:val="center"/>
              <w:rPr>
                <w:rFonts w:cstheme="minorHAnsi"/>
              </w:rPr>
            </w:pPr>
            <w:r>
              <w:rPr>
                <w:rFonts w:cstheme="minorHAnsi"/>
              </w:rPr>
              <w:t>57 (91.9)</w:t>
            </w:r>
          </w:p>
        </w:tc>
      </w:tr>
      <w:tr w:rsidR="00896DAF" w:rsidTr="00896DAF">
        <w:tc>
          <w:tcPr>
            <w:tcW w:w="1808" w:type="dxa"/>
          </w:tcPr>
          <w:p w:rsidR="00896DAF" w:rsidRDefault="00896DAF" w:rsidP="00896DAF">
            <w:pPr>
              <w:jc w:val="center"/>
              <w:rPr>
                <w:rFonts w:cstheme="minorHAnsi"/>
              </w:rPr>
            </w:pPr>
            <w:r>
              <w:rPr>
                <w:rFonts w:cstheme="minorHAnsi"/>
              </w:rPr>
              <w:t>5</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5-9</w:t>
            </w:r>
          </w:p>
        </w:tc>
        <w:tc>
          <w:tcPr>
            <w:tcW w:w="2250" w:type="dxa"/>
          </w:tcPr>
          <w:p w:rsidR="00896DAF" w:rsidRDefault="00896DAF" w:rsidP="00896DAF">
            <w:pPr>
              <w:jc w:val="center"/>
              <w:rPr>
                <w:rFonts w:cstheme="minorHAnsi"/>
              </w:rPr>
            </w:pPr>
            <w:r>
              <w:rPr>
                <w:rFonts w:cstheme="minorHAnsi"/>
              </w:rPr>
              <w:t>57 (91.9)</w:t>
            </w:r>
          </w:p>
        </w:tc>
      </w:tr>
      <w:tr w:rsidR="00896DAF" w:rsidTr="00896DAF">
        <w:tc>
          <w:tcPr>
            <w:tcW w:w="1808" w:type="dxa"/>
          </w:tcPr>
          <w:p w:rsidR="00896DAF" w:rsidRDefault="00896DAF" w:rsidP="00896DAF">
            <w:pPr>
              <w:jc w:val="center"/>
              <w:rPr>
                <w:rFonts w:cstheme="minorHAnsi"/>
              </w:rPr>
            </w:pPr>
            <w:r>
              <w:rPr>
                <w:rFonts w:cstheme="minorHAnsi"/>
              </w:rPr>
              <w:t>6</w:t>
            </w:r>
          </w:p>
        </w:tc>
        <w:tc>
          <w:tcPr>
            <w:tcW w:w="1530" w:type="dxa"/>
          </w:tcPr>
          <w:p w:rsidR="00896DAF" w:rsidRDefault="00896DAF" w:rsidP="00896DAF">
            <w:pPr>
              <w:jc w:val="center"/>
              <w:rPr>
                <w:rFonts w:cstheme="minorHAnsi"/>
              </w:rPr>
            </w:pPr>
            <w:r>
              <w:rPr>
                <w:rFonts w:cstheme="minorHAnsi"/>
              </w:rPr>
              <w:t>8</w:t>
            </w:r>
          </w:p>
        </w:tc>
        <w:tc>
          <w:tcPr>
            <w:tcW w:w="1530" w:type="dxa"/>
          </w:tcPr>
          <w:p w:rsidR="00896DAF" w:rsidRDefault="00896DAF" w:rsidP="00896DAF">
            <w:pPr>
              <w:jc w:val="center"/>
              <w:rPr>
                <w:rFonts w:cstheme="minorHAnsi"/>
              </w:rPr>
            </w:pPr>
            <w:r>
              <w:rPr>
                <w:rFonts w:cstheme="minorHAnsi"/>
              </w:rPr>
              <w:t>2-9</w:t>
            </w:r>
          </w:p>
        </w:tc>
        <w:tc>
          <w:tcPr>
            <w:tcW w:w="2250" w:type="dxa"/>
          </w:tcPr>
          <w:p w:rsidR="00896DAF" w:rsidRDefault="00896DAF" w:rsidP="00896DAF">
            <w:pPr>
              <w:jc w:val="center"/>
              <w:rPr>
                <w:rFonts w:cstheme="minorHAnsi"/>
              </w:rPr>
            </w:pPr>
            <w:r>
              <w:rPr>
                <w:rFonts w:cstheme="minorHAnsi"/>
              </w:rPr>
              <w:t>53 (85.5)</w:t>
            </w:r>
          </w:p>
        </w:tc>
      </w:tr>
      <w:tr w:rsidR="00896DAF" w:rsidTr="00896DAF">
        <w:tc>
          <w:tcPr>
            <w:tcW w:w="1808" w:type="dxa"/>
          </w:tcPr>
          <w:p w:rsidR="00896DAF" w:rsidRDefault="00896DAF" w:rsidP="00896DAF">
            <w:pPr>
              <w:jc w:val="center"/>
              <w:rPr>
                <w:rFonts w:cstheme="minorHAnsi"/>
              </w:rPr>
            </w:pPr>
            <w:r>
              <w:rPr>
                <w:rFonts w:cstheme="minorHAnsi"/>
              </w:rPr>
              <w:t>7</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2-9</w:t>
            </w:r>
          </w:p>
        </w:tc>
        <w:tc>
          <w:tcPr>
            <w:tcW w:w="2250" w:type="dxa"/>
          </w:tcPr>
          <w:p w:rsidR="00896DAF" w:rsidRDefault="00896DAF" w:rsidP="00896DAF">
            <w:pPr>
              <w:jc w:val="center"/>
              <w:rPr>
                <w:rFonts w:cstheme="minorHAnsi"/>
              </w:rPr>
            </w:pPr>
            <w:r>
              <w:rPr>
                <w:rFonts w:cstheme="minorHAnsi"/>
              </w:rPr>
              <w:t>58 (95.1)</w:t>
            </w:r>
          </w:p>
        </w:tc>
      </w:tr>
      <w:tr w:rsidR="00896DAF" w:rsidTr="00896DAF">
        <w:tc>
          <w:tcPr>
            <w:tcW w:w="1808" w:type="dxa"/>
          </w:tcPr>
          <w:p w:rsidR="00896DAF" w:rsidRDefault="00896DAF" w:rsidP="00896DAF">
            <w:pPr>
              <w:jc w:val="center"/>
              <w:rPr>
                <w:rFonts w:cstheme="minorHAnsi"/>
              </w:rPr>
            </w:pPr>
            <w:r>
              <w:rPr>
                <w:rFonts w:cstheme="minorHAnsi"/>
              </w:rPr>
              <w:t>8</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1-9</w:t>
            </w:r>
          </w:p>
        </w:tc>
        <w:tc>
          <w:tcPr>
            <w:tcW w:w="2250" w:type="dxa"/>
          </w:tcPr>
          <w:p w:rsidR="00896DAF" w:rsidRDefault="00896DAF" w:rsidP="00896DAF">
            <w:pPr>
              <w:jc w:val="center"/>
              <w:rPr>
                <w:rFonts w:cstheme="minorHAnsi"/>
              </w:rPr>
            </w:pPr>
            <w:r>
              <w:rPr>
                <w:rFonts w:cstheme="minorHAnsi"/>
              </w:rPr>
              <w:t>53 (86.9)</w:t>
            </w:r>
          </w:p>
        </w:tc>
      </w:tr>
      <w:tr w:rsidR="00896DAF" w:rsidTr="00896DAF">
        <w:tc>
          <w:tcPr>
            <w:tcW w:w="1808"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6-9</w:t>
            </w:r>
          </w:p>
        </w:tc>
        <w:tc>
          <w:tcPr>
            <w:tcW w:w="2250" w:type="dxa"/>
          </w:tcPr>
          <w:p w:rsidR="00896DAF" w:rsidRDefault="00896DAF" w:rsidP="00896DAF">
            <w:pPr>
              <w:jc w:val="center"/>
              <w:rPr>
                <w:rFonts w:cstheme="minorHAnsi"/>
              </w:rPr>
            </w:pPr>
            <w:r>
              <w:rPr>
                <w:rFonts w:cstheme="minorHAnsi"/>
              </w:rPr>
              <w:t>58 (95.1)</w:t>
            </w:r>
          </w:p>
        </w:tc>
      </w:tr>
      <w:tr w:rsidR="00896DAF" w:rsidTr="00896DAF">
        <w:tc>
          <w:tcPr>
            <w:tcW w:w="1808" w:type="dxa"/>
          </w:tcPr>
          <w:p w:rsidR="00896DAF" w:rsidRDefault="00896DAF" w:rsidP="00896DAF">
            <w:pPr>
              <w:jc w:val="center"/>
              <w:rPr>
                <w:rFonts w:cstheme="minorHAnsi"/>
              </w:rPr>
            </w:pPr>
            <w:r>
              <w:rPr>
                <w:rFonts w:cstheme="minorHAnsi"/>
              </w:rPr>
              <w:t>10</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4-9</w:t>
            </w:r>
          </w:p>
        </w:tc>
        <w:tc>
          <w:tcPr>
            <w:tcW w:w="2250" w:type="dxa"/>
          </w:tcPr>
          <w:p w:rsidR="00896DAF" w:rsidRDefault="00896DAF" w:rsidP="00896DAF">
            <w:pPr>
              <w:jc w:val="center"/>
              <w:rPr>
                <w:rFonts w:cstheme="minorHAnsi"/>
              </w:rPr>
            </w:pPr>
            <w:r>
              <w:rPr>
                <w:rFonts w:cstheme="minorHAnsi"/>
              </w:rPr>
              <w:t>56 (91.8)</w:t>
            </w:r>
          </w:p>
        </w:tc>
      </w:tr>
      <w:tr w:rsidR="00896DAF" w:rsidTr="00896DAF">
        <w:tc>
          <w:tcPr>
            <w:tcW w:w="1808" w:type="dxa"/>
          </w:tcPr>
          <w:p w:rsidR="00896DAF" w:rsidRDefault="00896DAF" w:rsidP="00896DAF">
            <w:pPr>
              <w:jc w:val="center"/>
              <w:rPr>
                <w:rFonts w:cstheme="minorHAnsi"/>
              </w:rPr>
            </w:pPr>
            <w:r>
              <w:rPr>
                <w:rFonts w:cstheme="minorHAnsi"/>
              </w:rPr>
              <w:t>11</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5-9</w:t>
            </w:r>
          </w:p>
        </w:tc>
        <w:tc>
          <w:tcPr>
            <w:tcW w:w="2250" w:type="dxa"/>
          </w:tcPr>
          <w:p w:rsidR="00896DAF" w:rsidRDefault="00896DAF" w:rsidP="00896DAF">
            <w:pPr>
              <w:jc w:val="center"/>
              <w:rPr>
                <w:rFonts w:cstheme="minorHAnsi"/>
              </w:rPr>
            </w:pPr>
            <w:r>
              <w:rPr>
                <w:rFonts w:cstheme="minorHAnsi"/>
              </w:rPr>
              <w:t>57 (93.4)</w:t>
            </w:r>
          </w:p>
        </w:tc>
      </w:tr>
      <w:tr w:rsidR="00896DAF" w:rsidTr="00896DAF">
        <w:tc>
          <w:tcPr>
            <w:tcW w:w="1808" w:type="dxa"/>
          </w:tcPr>
          <w:p w:rsidR="00896DAF" w:rsidRDefault="00896DAF" w:rsidP="00896DAF">
            <w:pPr>
              <w:jc w:val="center"/>
              <w:rPr>
                <w:rFonts w:cstheme="minorHAnsi"/>
              </w:rPr>
            </w:pPr>
            <w:r>
              <w:rPr>
                <w:rFonts w:cstheme="minorHAnsi"/>
              </w:rPr>
              <w:t>12</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5-9</w:t>
            </w:r>
          </w:p>
        </w:tc>
        <w:tc>
          <w:tcPr>
            <w:tcW w:w="2250" w:type="dxa"/>
          </w:tcPr>
          <w:p w:rsidR="00896DAF" w:rsidRDefault="00896DAF" w:rsidP="00896DAF">
            <w:pPr>
              <w:jc w:val="center"/>
              <w:rPr>
                <w:rFonts w:cstheme="minorHAnsi"/>
              </w:rPr>
            </w:pPr>
            <w:r>
              <w:rPr>
                <w:rFonts w:cstheme="minorHAnsi"/>
              </w:rPr>
              <w:t>57 (93.4)</w:t>
            </w:r>
          </w:p>
        </w:tc>
      </w:tr>
      <w:tr w:rsidR="00896DAF" w:rsidTr="00896DAF">
        <w:tc>
          <w:tcPr>
            <w:tcW w:w="1808" w:type="dxa"/>
          </w:tcPr>
          <w:p w:rsidR="00896DAF" w:rsidRDefault="00896DAF" w:rsidP="00896DAF">
            <w:pPr>
              <w:jc w:val="center"/>
              <w:rPr>
                <w:rFonts w:cstheme="minorHAnsi"/>
              </w:rPr>
            </w:pPr>
            <w:r>
              <w:rPr>
                <w:rFonts w:cstheme="minorHAnsi"/>
              </w:rPr>
              <w:t>13</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5-9</w:t>
            </w:r>
          </w:p>
        </w:tc>
        <w:tc>
          <w:tcPr>
            <w:tcW w:w="2250" w:type="dxa"/>
          </w:tcPr>
          <w:p w:rsidR="00896DAF" w:rsidRDefault="00896DAF" w:rsidP="00896DAF">
            <w:pPr>
              <w:jc w:val="center"/>
              <w:rPr>
                <w:rFonts w:cstheme="minorHAnsi"/>
              </w:rPr>
            </w:pPr>
            <w:r>
              <w:rPr>
                <w:rFonts w:cstheme="minorHAnsi"/>
              </w:rPr>
              <w:t>58 (95.1)</w:t>
            </w:r>
          </w:p>
        </w:tc>
      </w:tr>
      <w:tr w:rsidR="00896DAF" w:rsidTr="00896DAF">
        <w:tc>
          <w:tcPr>
            <w:tcW w:w="1808" w:type="dxa"/>
          </w:tcPr>
          <w:p w:rsidR="00896DAF" w:rsidRDefault="00896DAF" w:rsidP="00896DAF">
            <w:pPr>
              <w:jc w:val="center"/>
              <w:rPr>
                <w:rFonts w:cstheme="minorHAnsi"/>
              </w:rPr>
            </w:pPr>
            <w:r>
              <w:rPr>
                <w:rFonts w:cstheme="minorHAnsi"/>
              </w:rPr>
              <w:t>14</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1-9</w:t>
            </w:r>
          </w:p>
        </w:tc>
        <w:tc>
          <w:tcPr>
            <w:tcW w:w="2250" w:type="dxa"/>
          </w:tcPr>
          <w:p w:rsidR="00896DAF" w:rsidRDefault="00896DAF" w:rsidP="00896DAF">
            <w:pPr>
              <w:jc w:val="center"/>
              <w:rPr>
                <w:rFonts w:cstheme="minorHAnsi"/>
              </w:rPr>
            </w:pPr>
            <w:r>
              <w:rPr>
                <w:rFonts w:cstheme="minorHAnsi"/>
              </w:rPr>
              <w:t>55 (90.2)</w:t>
            </w:r>
          </w:p>
        </w:tc>
      </w:tr>
      <w:tr w:rsidR="00896DAF" w:rsidTr="00896DAF">
        <w:tc>
          <w:tcPr>
            <w:tcW w:w="1808" w:type="dxa"/>
          </w:tcPr>
          <w:p w:rsidR="00896DAF" w:rsidRDefault="00896DAF" w:rsidP="00896DAF">
            <w:pPr>
              <w:jc w:val="center"/>
              <w:rPr>
                <w:rFonts w:cstheme="minorHAnsi"/>
              </w:rPr>
            </w:pPr>
            <w:r>
              <w:rPr>
                <w:rFonts w:cstheme="minorHAnsi"/>
              </w:rPr>
              <w:t>15</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5-9</w:t>
            </w:r>
          </w:p>
        </w:tc>
        <w:tc>
          <w:tcPr>
            <w:tcW w:w="2250" w:type="dxa"/>
          </w:tcPr>
          <w:p w:rsidR="00896DAF" w:rsidRDefault="00896DAF" w:rsidP="00896DAF">
            <w:pPr>
              <w:jc w:val="center"/>
              <w:rPr>
                <w:rFonts w:cstheme="minorHAnsi"/>
              </w:rPr>
            </w:pPr>
            <w:r>
              <w:rPr>
                <w:rFonts w:cstheme="minorHAnsi"/>
              </w:rPr>
              <w:t>54 (88.5)</w:t>
            </w:r>
          </w:p>
        </w:tc>
      </w:tr>
      <w:tr w:rsidR="00896DAF" w:rsidTr="00896DAF">
        <w:tc>
          <w:tcPr>
            <w:tcW w:w="1808" w:type="dxa"/>
          </w:tcPr>
          <w:p w:rsidR="00896DAF" w:rsidRDefault="00896DAF" w:rsidP="00896DAF">
            <w:pPr>
              <w:jc w:val="center"/>
              <w:rPr>
                <w:rFonts w:cstheme="minorHAnsi"/>
              </w:rPr>
            </w:pPr>
            <w:r>
              <w:rPr>
                <w:rFonts w:cstheme="minorHAnsi"/>
              </w:rPr>
              <w:t>16</w:t>
            </w:r>
          </w:p>
        </w:tc>
        <w:tc>
          <w:tcPr>
            <w:tcW w:w="1530" w:type="dxa"/>
          </w:tcPr>
          <w:p w:rsidR="00896DAF" w:rsidRDefault="00896DAF" w:rsidP="00896DAF">
            <w:pPr>
              <w:jc w:val="center"/>
              <w:rPr>
                <w:rFonts w:cstheme="minorHAnsi"/>
              </w:rPr>
            </w:pPr>
            <w:r>
              <w:rPr>
                <w:rFonts w:cstheme="minorHAnsi"/>
              </w:rPr>
              <w:t>9</w:t>
            </w:r>
          </w:p>
        </w:tc>
        <w:tc>
          <w:tcPr>
            <w:tcW w:w="1530" w:type="dxa"/>
          </w:tcPr>
          <w:p w:rsidR="00896DAF" w:rsidRDefault="00896DAF" w:rsidP="00896DAF">
            <w:pPr>
              <w:jc w:val="center"/>
              <w:rPr>
                <w:rFonts w:cstheme="minorHAnsi"/>
              </w:rPr>
            </w:pPr>
            <w:r>
              <w:rPr>
                <w:rFonts w:cstheme="minorHAnsi"/>
              </w:rPr>
              <w:t>5-9</w:t>
            </w:r>
          </w:p>
        </w:tc>
        <w:tc>
          <w:tcPr>
            <w:tcW w:w="2250" w:type="dxa"/>
          </w:tcPr>
          <w:p w:rsidR="00896DAF" w:rsidRDefault="00896DAF" w:rsidP="00896DAF">
            <w:pPr>
              <w:jc w:val="center"/>
              <w:rPr>
                <w:rFonts w:cstheme="minorHAnsi"/>
              </w:rPr>
            </w:pPr>
            <w:r>
              <w:rPr>
                <w:rFonts w:cstheme="minorHAnsi"/>
              </w:rPr>
              <w:t>56 (91.8)</w:t>
            </w:r>
          </w:p>
        </w:tc>
      </w:tr>
    </w:tbl>
    <w:p w:rsidR="00D6440A" w:rsidRPr="00B82CD6" w:rsidRDefault="00D6440A" w:rsidP="00D6440A">
      <w:pPr>
        <w:rPr>
          <w:rFonts w:cstheme="minorHAnsi"/>
          <w:b/>
        </w:rPr>
      </w:pPr>
      <w:r>
        <w:rPr>
          <w:rFonts w:cstheme="minorHAnsi"/>
        </w:rPr>
        <w:br w:type="page"/>
      </w:r>
      <w:r w:rsidR="00B82CD6" w:rsidRPr="00B82CD6">
        <w:rPr>
          <w:rFonts w:cstheme="minorHAnsi"/>
          <w:b/>
          <w:sz w:val="28"/>
          <w:szCs w:val="28"/>
        </w:rPr>
        <w:lastRenderedPageBreak/>
        <w:t>Appendix Table 3</w:t>
      </w:r>
    </w:p>
    <w:tbl>
      <w:tblPr>
        <w:tblStyle w:val="TableGrid"/>
        <w:tblpPr w:leftFromText="180" w:rightFromText="180" w:vertAnchor="text" w:horzAnchor="margin" w:tblpY="178"/>
        <w:tblW w:w="0" w:type="auto"/>
        <w:tblBorders>
          <w:top w:val="single" w:sz="12" w:space="0" w:color="auto"/>
          <w:left w:val="none" w:sz="0" w:space="0" w:color="auto"/>
          <w:bottom w:val="single" w:sz="12" w:space="0" w:color="auto"/>
          <w:right w:val="none" w:sz="0" w:space="0" w:color="auto"/>
          <w:insideH w:val="none" w:sz="0" w:space="0" w:color="auto"/>
        </w:tblBorders>
        <w:tblLook w:val="04A0" w:firstRow="1" w:lastRow="0" w:firstColumn="1" w:lastColumn="0" w:noHBand="0" w:noVBand="1"/>
      </w:tblPr>
      <w:tblGrid>
        <w:gridCol w:w="7128"/>
        <w:gridCol w:w="2448"/>
      </w:tblGrid>
      <w:tr w:rsidR="00896DAF" w:rsidTr="00896DAF">
        <w:tc>
          <w:tcPr>
            <w:tcW w:w="9576" w:type="dxa"/>
            <w:gridSpan w:val="2"/>
            <w:tcBorders>
              <w:top w:val="single" w:sz="12" w:space="0" w:color="auto"/>
              <w:bottom w:val="single" w:sz="12" w:space="0" w:color="auto"/>
            </w:tcBorders>
          </w:tcPr>
          <w:p w:rsidR="00896DAF" w:rsidRDefault="00896DAF" w:rsidP="00896DAF">
            <w:pPr>
              <w:rPr>
                <w:rFonts w:cstheme="minorHAnsi"/>
                <w:b/>
              </w:rPr>
            </w:pPr>
            <w:r>
              <w:rPr>
                <w:rFonts w:cstheme="minorHAnsi"/>
                <w:b/>
              </w:rPr>
              <w:t>Appendix Table 3. Professional s</w:t>
            </w:r>
            <w:r w:rsidRPr="00EE162B">
              <w:rPr>
                <w:rFonts w:cstheme="minorHAnsi"/>
                <w:b/>
              </w:rPr>
              <w:t>ocieties engaged during 30-day comment period</w:t>
            </w:r>
          </w:p>
        </w:tc>
      </w:tr>
      <w:tr w:rsidR="00896DAF" w:rsidTr="00896DAF">
        <w:tc>
          <w:tcPr>
            <w:tcW w:w="7128" w:type="dxa"/>
            <w:tcBorders>
              <w:top w:val="single" w:sz="12" w:space="0" w:color="auto"/>
            </w:tcBorders>
            <w:vAlign w:val="bottom"/>
          </w:tcPr>
          <w:p w:rsidR="00896DAF" w:rsidRDefault="00896DAF" w:rsidP="00896DAF">
            <w:pPr>
              <w:rPr>
                <w:rFonts w:ascii="Calibri" w:hAnsi="Calibri" w:cs="Calibri"/>
                <w:color w:val="141412"/>
              </w:rPr>
            </w:pPr>
            <w:r>
              <w:rPr>
                <w:rFonts w:ascii="Calibri" w:hAnsi="Calibri" w:cs="Calibri"/>
                <w:color w:val="141412"/>
              </w:rPr>
              <w:t>Societies Approached for Input</w:t>
            </w:r>
          </w:p>
        </w:tc>
        <w:tc>
          <w:tcPr>
            <w:tcW w:w="2448" w:type="dxa"/>
            <w:tcBorders>
              <w:top w:val="single" w:sz="12" w:space="0" w:color="auto"/>
            </w:tcBorders>
          </w:tcPr>
          <w:p w:rsidR="00896DAF" w:rsidRDefault="00896DAF" w:rsidP="00896DAF">
            <w:pPr>
              <w:jc w:val="center"/>
              <w:rPr>
                <w:rFonts w:ascii="Calibri" w:hAnsi="Calibri" w:cs="Calibri"/>
                <w:color w:val="141412"/>
              </w:rPr>
            </w:pPr>
            <w:r>
              <w:rPr>
                <w:rFonts w:ascii="Calibri" w:hAnsi="Calibri" w:cs="Calibri"/>
                <w:color w:val="141412"/>
              </w:rPr>
              <w:t>Provided input?</w:t>
            </w:r>
          </w:p>
        </w:tc>
      </w:tr>
      <w:tr w:rsidR="00896DAF" w:rsidTr="00896DAF">
        <w:tc>
          <w:tcPr>
            <w:tcW w:w="7128" w:type="dxa"/>
            <w:tcBorders>
              <w:top w:val="single" w:sz="12" w:space="0" w:color="auto"/>
            </w:tcBorders>
            <w:vAlign w:val="bottom"/>
          </w:tcPr>
          <w:p w:rsidR="00896DAF" w:rsidRDefault="00896DAF" w:rsidP="00896DAF">
            <w:pPr>
              <w:rPr>
                <w:rFonts w:ascii="Calibri" w:hAnsi="Calibri" w:cs="Calibri"/>
                <w:color w:val="141412"/>
                <w:sz w:val="24"/>
                <w:szCs w:val="24"/>
              </w:rPr>
            </w:pPr>
            <w:r>
              <w:rPr>
                <w:rFonts w:ascii="Calibri" w:hAnsi="Calibri" w:cs="Calibri"/>
                <w:color w:val="141412"/>
              </w:rPr>
              <w:t>American Academy of Family Physicians</w:t>
            </w:r>
          </w:p>
        </w:tc>
        <w:tc>
          <w:tcPr>
            <w:tcW w:w="2448" w:type="dxa"/>
            <w:tcBorders>
              <w:top w:val="single" w:sz="12" w:space="0" w:color="auto"/>
            </w:tcBorders>
          </w:tcPr>
          <w:p w:rsidR="00896DAF" w:rsidRDefault="00896DAF" w:rsidP="00896DAF">
            <w:pPr>
              <w:jc w:val="center"/>
              <w:rPr>
                <w:rFonts w:ascii="Calibri" w:hAnsi="Calibri" w:cs="Calibri"/>
                <w:color w:val="141412"/>
              </w:rPr>
            </w:pPr>
            <w:r>
              <w:rPr>
                <w:rFonts w:ascii="Calibri" w:hAnsi="Calibri" w:cs="Calibri"/>
                <w:color w:val="141412"/>
              </w:rPr>
              <w:t>Yes</w:t>
            </w:r>
          </w:p>
        </w:tc>
      </w:tr>
      <w:tr w:rsidR="00896DAF" w:rsidTr="00896DAF">
        <w:tc>
          <w:tcPr>
            <w:tcW w:w="7128" w:type="dxa"/>
            <w:vAlign w:val="bottom"/>
          </w:tcPr>
          <w:p w:rsidR="00896DAF" w:rsidRDefault="00896DAF" w:rsidP="00896DAF">
            <w:pPr>
              <w:rPr>
                <w:rFonts w:ascii="Calibri" w:hAnsi="Calibri" w:cs="Calibri"/>
                <w:color w:val="000000"/>
              </w:rPr>
            </w:pPr>
            <w:r>
              <w:rPr>
                <w:rFonts w:ascii="Calibri" w:hAnsi="Calibri" w:cs="Calibri"/>
                <w:color w:val="000000"/>
              </w:rPr>
              <w:t>American Academy of Hospice and Palliative Care</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No</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American Academy of Physical Medicine and Rehabilitation</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No</w:t>
            </w:r>
          </w:p>
        </w:tc>
      </w:tr>
      <w:tr w:rsidR="00896DAF" w:rsidTr="00896DAF">
        <w:tc>
          <w:tcPr>
            <w:tcW w:w="7128" w:type="dxa"/>
            <w:vAlign w:val="bottom"/>
          </w:tcPr>
          <w:p w:rsidR="00896DAF" w:rsidRDefault="00896DAF" w:rsidP="00896DAF">
            <w:pPr>
              <w:rPr>
                <w:rFonts w:ascii="Calibri" w:hAnsi="Calibri" w:cs="Calibri"/>
                <w:color w:val="000000"/>
                <w:sz w:val="24"/>
                <w:szCs w:val="24"/>
              </w:rPr>
            </w:pPr>
            <w:r>
              <w:rPr>
                <w:rFonts w:ascii="Calibri" w:hAnsi="Calibri" w:cs="Calibri"/>
                <w:color w:val="000000"/>
              </w:rPr>
              <w:t xml:space="preserve">American Association of Orthopedic Surgeons </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No</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American Board of Internal Medicine</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No</w:t>
            </w:r>
          </w:p>
        </w:tc>
      </w:tr>
      <w:tr w:rsidR="00896DAF" w:rsidTr="00896DAF">
        <w:tc>
          <w:tcPr>
            <w:tcW w:w="7128" w:type="dxa"/>
            <w:vAlign w:val="bottom"/>
          </w:tcPr>
          <w:p w:rsidR="00896DAF" w:rsidRDefault="00896DAF" w:rsidP="00896DAF">
            <w:pPr>
              <w:rPr>
                <w:rFonts w:ascii="Calibri" w:hAnsi="Calibri" w:cs="Calibri"/>
                <w:color w:val="000000"/>
                <w:sz w:val="24"/>
                <w:szCs w:val="24"/>
              </w:rPr>
            </w:pPr>
            <w:r>
              <w:rPr>
                <w:rFonts w:ascii="Calibri" w:hAnsi="Calibri" w:cs="Calibri"/>
                <w:color w:val="000000"/>
              </w:rPr>
              <w:t>American College of Chest Physicians</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No</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American College of Emergency Physicians</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No</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American College of Occupational and Environmental Medicine</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No</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American College of Physicians</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Yes</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American College of Surgeons</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No</w:t>
            </w:r>
          </w:p>
        </w:tc>
      </w:tr>
      <w:tr w:rsidR="00896DAF" w:rsidTr="00896DAF">
        <w:tc>
          <w:tcPr>
            <w:tcW w:w="7128" w:type="dxa"/>
            <w:vAlign w:val="bottom"/>
          </w:tcPr>
          <w:p w:rsidR="00896DAF" w:rsidRDefault="00896DAF" w:rsidP="00896DAF">
            <w:pPr>
              <w:rPr>
                <w:rFonts w:ascii="Calibri" w:hAnsi="Calibri" w:cs="Calibri"/>
                <w:color w:val="000000"/>
                <w:sz w:val="24"/>
                <w:szCs w:val="24"/>
              </w:rPr>
            </w:pPr>
            <w:r>
              <w:rPr>
                <w:rFonts w:ascii="Calibri" w:hAnsi="Calibri" w:cs="Calibri"/>
                <w:color w:val="000000"/>
              </w:rPr>
              <w:t>American Hospital Association</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Yes</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American Pain Society</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No</w:t>
            </w:r>
          </w:p>
        </w:tc>
      </w:tr>
      <w:tr w:rsidR="00896DAF" w:rsidTr="00896DAF">
        <w:tc>
          <w:tcPr>
            <w:tcW w:w="7128" w:type="dxa"/>
            <w:vAlign w:val="bottom"/>
          </w:tcPr>
          <w:p w:rsidR="00896DAF" w:rsidRDefault="00896DAF" w:rsidP="00896DAF">
            <w:pPr>
              <w:rPr>
                <w:rFonts w:ascii="Calibri" w:hAnsi="Calibri" w:cs="Calibri"/>
                <w:color w:val="000000"/>
              </w:rPr>
            </w:pPr>
            <w:r>
              <w:rPr>
                <w:rFonts w:ascii="Calibri" w:hAnsi="Calibri" w:cs="Calibri"/>
                <w:color w:val="000000"/>
              </w:rPr>
              <w:t>American Society of Addiction Medicine</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Yes</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American Society of Anesthesiologists</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Yes</w:t>
            </w:r>
          </w:p>
        </w:tc>
      </w:tr>
      <w:tr w:rsidR="00896DAF" w:rsidTr="00896DAF">
        <w:tc>
          <w:tcPr>
            <w:tcW w:w="7128" w:type="dxa"/>
            <w:vAlign w:val="bottom"/>
          </w:tcPr>
          <w:p w:rsidR="00896DAF" w:rsidRDefault="00896DAF" w:rsidP="00896DAF">
            <w:pPr>
              <w:rPr>
                <w:rFonts w:ascii="Calibri" w:hAnsi="Calibri" w:cs="Calibri"/>
                <w:color w:val="000000"/>
              </w:rPr>
            </w:pPr>
            <w:r>
              <w:rPr>
                <w:rFonts w:ascii="Calibri" w:hAnsi="Calibri" w:cs="Calibri"/>
                <w:color w:val="000000"/>
              </w:rPr>
              <w:t>American Society of Health-System Pharmacists</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Yes</w:t>
            </w:r>
          </w:p>
        </w:tc>
      </w:tr>
      <w:tr w:rsidR="00896DAF" w:rsidTr="00896DAF">
        <w:tc>
          <w:tcPr>
            <w:tcW w:w="7128" w:type="dxa"/>
            <w:vAlign w:val="bottom"/>
          </w:tcPr>
          <w:p w:rsidR="00896DAF" w:rsidRDefault="00896DAF" w:rsidP="00896DAF">
            <w:pPr>
              <w:rPr>
                <w:rFonts w:ascii="Calibri" w:hAnsi="Calibri" w:cs="Calibri"/>
                <w:color w:val="000000"/>
              </w:rPr>
            </w:pPr>
            <w:r>
              <w:rPr>
                <w:rFonts w:ascii="Calibri" w:hAnsi="Calibri" w:cs="Calibri"/>
                <w:color w:val="000000"/>
              </w:rPr>
              <w:t>The Beryl Institute</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No</w:t>
            </w:r>
          </w:p>
        </w:tc>
      </w:tr>
      <w:tr w:rsidR="00896DAF" w:rsidTr="00896DAF">
        <w:tc>
          <w:tcPr>
            <w:tcW w:w="7128" w:type="dxa"/>
            <w:vAlign w:val="bottom"/>
          </w:tcPr>
          <w:p w:rsidR="00896DAF" w:rsidRDefault="00896DAF" w:rsidP="00896DAF">
            <w:pPr>
              <w:rPr>
                <w:rFonts w:ascii="Calibri" w:hAnsi="Calibri" w:cs="Calibri"/>
                <w:color w:val="000000"/>
              </w:rPr>
            </w:pPr>
            <w:r>
              <w:rPr>
                <w:rFonts w:ascii="Calibri" w:hAnsi="Calibri" w:cs="Calibri"/>
                <w:color w:val="000000"/>
              </w:rPr>
              <w:t>Emergency Care Research Institute</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No</w:t>
            </w:r>
          </w:p>
        </w:tc>
      </w:tr>
      <w:tr w:rsidR="00896DAF" w:rsidTr="00896DAF">
        <w:tc>
          <w:tcPr>
            <w:tcW w:w="7128" w:type="dxa"/>
            <w:vAlign w:val="bottom"/>
          </w:tcPr>
          <w:p w:rsidR="00896DAF" w:rsidRDefault="00896DAF" w:rsidP="00896DAF">
            <w:pPr>
              <w:rPr>
                <w:rFonts w:ascii="Calibri" w:hAnsi="Calibri" w:cs="Calibri"/>
                <w:color w:val="141412"/>
                <w:sz w:val="24"/>
                <w:szCs w:val="24"/>
              </w:rPr>
            </w:pPr>
            <w:r>
              <w:rPr>
                <w:rFonts w:ascii="Calibri" w:hAnsi="Calibri" w:cs="Calibri"/>
                <w:color w:val="141412"/>
              </w:rPr>
              <w:t>Society of Critical Care Medicine</w:t>
            </w:r>
            <w:r>
              <w:rPr>
                <w:rFonts w:ascii="Calibri" w:hAnsi="Calibri" w:cs="Calibri"/>
                <w:color w:val="000000"/>
              </w:rPr>
              <w:t xml:space="preserve"> </w:t>
            </w:r>
          </w:p>
        </w:tc>
        <w:tc>
          <w:tcPr>
            <w:tcW w:w="2448" w:type="dxa"/>
          </w:tcPr>
          <w:p w:rsidR="00896DAF" w:rsidRDefault="00896DAF" w:rsidP="00896DAF">
            <w:pPr>
              <w:jc w:val="center"/>
              <w:rPr>
                <w:rFonts w:ascii="Calibri" w:hAnsi="Calibri" w:cs="Calibri"/>
                <w:color w:val="141412"/>
              </w:rPr>
            </w:pPr>
            <w:r>
              <w:rPr>
                <w:rFonts w:ascii="Calibri" w:hAnsi="Calibri" w:cs="Calibri"/>
                <w:color w:val="141412"/>
              </w:rPr>
              <w:t>Yes</w:t>
            </w:r>
          </w:p>
        </w:tc>
      </w:tr>
      <w:tr w:rsidR="00896DAF" w:rsidTr="00896DAF">
        <w:tc>
          <w:tcPr>
            <w:tcW w:w="7128" w:type="dxa"/>
            <w:vAlign w:val="bottom"/>
          </w:tcPr>
          <w:p w:rsidR="00896DAF" w:rsidRDefault="00896DAF" w:rsidP="00896DAF">
            <w:pPr>
              <w:rPr>
                <w:rFonts w:ascii="Calibri" w:hAnsi="Calibri" w:cs="Calibri"/>
                <w:color w:val="000000"/>
              </w:rPr>
            </w:pPr>
            <w:r>
              <w:rPr>
                <w:rFonts w:ascii="Calibri" w:hAnsi="Calibri" w:cs="Calibri"/>
                <w:color w:val="000000"/>
              </w:rPr>
              <w:t>Society of General Internal Medicine</w:t>
            </w:r>
          </w:p>
        </w:tc>
        <w:tc>
          <w:tcPr>
            <w:tcW w:w="2448" w:type="dxa"/>
          </w:tcPr>
          <w:p w:rsidR="00896DAF" w:rsidRDefault="00896DAF" w:rsidP="00896DAF">
            <w:pPr>
              <w:jc w:val="center"/>
              <w:rPr>
                <w:rFonts w:ascii="Calibri" w:hAnsi="Calibri" w:cs="Calibri"/>
                <w:color w:val="000000"/>
              </w:rPr>
            </w:pPr>
            <w:r>
              <w:rPr>
                <w:rFonts w:ascii="Calibri" w:hAnsi="Calibri" w:cs="Calibri"/>
                <w:color w:val="000000"/>
              </w:rPr>
              <w:t>Yes</w:t>
            </w:r>
          </w:p>
        </w:tc>
      </w:tr>
    </w:tbl>
    <w:p w:rsidR="00D6440A" w:rsidRPr="00B97073" w:rsidRDefault="00D6440A" w:rsidP="00D6440A">
      <w:pPr>
        <w:rPr>
          <w:rFonts w:cstheme="minorHAnsi"/>
        </w:rPr>
      </w:pPr>
    </w:p>
    <w:p w:rsidR="00752E3F" w:rsidRDefault="00752E3F"/>
    <w:sectPr w:rsidR="0075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0A"/>
    <w:rsid w:val="00054A90"/>
    <w:rsid w:val="00130F2A"/>
    <w:rsid w:val="002E7EA4"/>
    <w:rsid w:val="00351BFA"/>
    <w:rsid w:val="0069155C"/>
    <w:rsid w:val="006B4BE8"/>
    <w:rsid w:val="00752E3F"/>
    <w:rsid w:val="00896DAF"/>
    <w:rsid w:val="009379E5"/>
    <w:rsid w:val="0099063B"/>
    <w:rsid w:val="009F6A10"/>
    <w:rsid w:val="00AF29A5"/>
    <w:rsid w:val="00B82CD6"/>
    <w:rsid w:val="00CF17C8"/>
    <w:rsid w:val="00D6440A"/>
    <w:rsid w:val="00E028C7"/>
    <w:rsid w:val="00E5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Beth Israel Deaconess Medical Center</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Herzig,Shoshana J.(BIDMC - MD)</dc:creator>
  <cp:lastModifiedBy>Herzig,Shoshana J.(BIDMC - MD)</cp:lastModifiedBy>
  <cp:revision>2</cp:revision>
  <dcterms:created xsi:type="dcterms:W3CDTF">2018-02-23T22:33:00Z</dcterms:created>
  <dcterms:modified xsi:type="dcterms:W3CDTF">2018-02-23T22:33:00Z</dcterms:modified>
</cp:coreProperties>
</file>