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27B96" w14:textId="77777777" w:rsidR="007B3893" w:rsidRPr="004B3E14" w:rsidRDefault="007B3893" w:rsidP="007B3893">
      <w:pPr>
        <w:rPr>
          <w:rFonts w:ascii="Arial" w:hAnsi="Arial" w:cs="Arial"/>
          <w:sz w:val="22"/>
          <w:szCs w:val="22"/>
        </w:rPr>
      </w:pPr>
    </w:p>
    <w:p w14:paraId="450C153D" w14:textId="77777777" w:rsidR="007B3893" w:rsidRPr="004B3E14" w:rsidRDefault="007B3893" w:rsidP="007B3893">
      <w:pPr>
        <w:rPr>
          <w:rFonts w:ascii="Arial" w:hAnsi="Arial" w:cs="Arial"/>
          <w:sz w:val="22"/>
          <w:szCs w:val="22"/>
        </w:rPr>
      </w:pPr>
    </w:p>
    <w:p w14:paraId="7B97A6A3" w14:textId="4E8ED013" w:rsidR="007B3893" w:rsidRPr="00146DA0" w:rsidRDefault="00104AD6" w:rsidP="007B3893">
      <w:pPr>
        <w:rPr>
          <w:rFonts w:ascii="Arial" w:hAnsi="Arial" w:cs="Arial"/>
          <w:b/>
          <w:sz w:val="22"/>
          <w:szCs w:val="22"/>
          <w:u w:val="single"/>
        </w:rPr>
      </w:pPr>
      <w:r>
        <w:rPr>
          <w:rFonts w:ascii="Arial" w:hAnsi="Arial" w:cs="Arial"/>
          <w:b/>
          <w:sz w:val="22"/>
          <w:szCs w:val="22"/>
          <w:u w:val="single"/>
        </w:rPr>
        <w:t xml:space="preserve">Appendix 1 </w:t>
      </w:r>
      <w:r w:rsidR="00DE47B5">
        <w:rPr>
          <w:rFonts w:ascii="Arial" w:hAnsi="Arial" w:cs="Arial"/>
          <w:b/>
          <w:sz w:val="22"/>
          <w:szCs w:val="22"/>
          <w:u w:val="single"/>
        </w:rPr>
        <w:t>–</w:t>
      </w:r>
      <w:r w:rsidR="001A6C20">
        <w:rPr>
          <w:rFonts w:ascii="Arial" w:hAnsi="Arial" w:cs="Arial"/>
          <w:b/>
          <w:sz w:val="22"/>
          <w:szCs w:val="22"/>
          <w:u w:val="single"/>
        </w:rPr>
        <w:t xml:space="preserve"> Detailed </w:t>
      </w:r>
      <w:r w:rsidR="007B3893" w:rsidRPr="00146DA0">
        <w:rPr>
          <w:rFonts w:ascii="Arial" w:hAnsi="Arial" w:cs="Arial"/>
          <w:b/>
          <w:sz w:val="22"/>
          <w:szCs w:val="22"/>
          <w:u w:val="single"/>
        </w:rPr>
        <w:t>Methods</w:t>
      </w:r>
    </w:p>
    <w:p w14:paraId="03E0C77C" w14:textId="77777777" w:rsidR="007B3893" w:rsidRDefault="007B3893" w:rsidP="00030159">
      <w:pPr>
        <w:spacing w:line="480" w:lineRule="auto"/>
        <w:rPr>
          <w:rFonts w:ascii="Arial" w:hAnsi="Arial" w:cs="Arial"/>
          <w:sz w:val="22"/>
          <w:szCs w:val="22"/>
        </w:rPr>
      </w:pPr>
    </w:p>
    <w:p w14:paraId="4BF7012C" w14:textId="77777777" w:rsidR="008D5607" w:rsidRPr="008D5607" w:rsidRDefault="008D5607" w:rsidP="00030159">
      <w:pPr>
        <w:spacing w:line="480" w:lineRule="auto"/>
        <w:rPr>
          <w:rFonts w:ascii="Times" w:hAnsi="Times" w:cs="Times New Roman"/>
          <w:sz w:val="20"/>
          <w:szCs w:val="20"/>
        </w:rPr>
      </w:pPr>
      <w:r w:rsidRPr="008D5607">
        <w:rPr>
          <w:rFonts w:ascii="Arial" w:hAnsi="Arial" w:cs="Arial"/>
          <w:color w:val="000000"/>
          <w:sz w:val="22"/>
          <w:szCs w:val="22"/>
          <w:u w:val="single"/>
        </w:rPr>
        <w:t>Expert Panel Formulation</w:t>
      </w:r>
    </w:p>
    <w:p w14:paraId="5DF4CD79" w14:textId="5AE0EC86" w:rsidR="008D5607" w:rsidRPr="008D5607" w:rsidRDefault="008D5607" w:rsidP="00030159">
      <w:pPr>
        <w:spacing w:line="480" w:lineRule="auto"/>
        <w:rPr>
          <w:rFonts w:ascii="Times" w:hAnsi="Times" w:cs="Times New Roman"/>
          <w:sz w:val="20"/>
          <w:szCs w:val="20"/>
        </w:rPr>
      </w:pPr>
      <w:r w:rsidRPr="008D5607">
        <w:rPr>
          <w:rFonts w:ascii="Arial" w:hAnsi="Arial" w:cs="Arial"/>
          <w:color w:val="000000"/>
          <w:sz w:val="22"/>
          <w:szCs w:val="22"/>
        </w:rPr>
        <w:t>The Society of Hospital Medicine</w:t>
      </w:r>
      <w:r w:rsidR="007D3A66">
        <w:rPr>
          <w:rFonts w:ascii="Arial" w:hAnsi="Arial" w:cs="Arial"/>
          <w:color w:val="000000"/>
          <w:sz w:val="22"/>
          <w:szCs w:val="22"/>
        </w:rPr>
        <w:t xml:space="preserve"> (SHM)</w:t>
      </w:r>
      <w:r w:rsidRPr="008D5607">
        <w:rPr>
          <w:rFonts w:ascii="Arial" w:hAnsi="Arial" w:cs="Arial"/>
          <w:color w:val="000000"/>
          <w:sz w:val="22"/>
          <w:szCs w:val="22"/>
        </w:rPr>
        <w:t xml:space="preserve"> Board</w:t>
      </w:r>
      <w:r w:rsidR="00136F43">
        <w:rPr>
          <w:rFonts w:ascii="Arial" w:hAnsi="Arial" w:cs="Arial"/>
          <w:color w:val="000000"/>
          <w:sz w:val="22"/>
          <w:szCs w:val="22"/>
        </w:rPr>
        <w:t xml:space="preserve"> of Directors</w:t>
      </w:r>
      <w:r w:rsidRPr="008D5607">
        <w:rPr>
          <w:rFonts w:ascii="Arial" w:hAnsi="Arial" w:cs="Arial"/>
          <w:color w:val="000000"/>
          <w:sz w:val="22"/>
          <w:szCs w:val="22"/>
        </w:rPr>
        <w:t xml:space="preserve"> delegated the SHM Education Committee with the task of developing </w:t>
      </w:r>
      <w:r w:rsidR="00CC5005">
        <w:rPr>
          <w:rFonts w:ascii="Arial" w:hAnsi="Arial" w:cs="Arial"/>
          <w:color w:val="000000"/>
          <w:sz w:val="22"/>
          <w:szCs w:val="22"/>
        </w:rPr>
        <w:t>recommendations</w:t>
      </w:r>
      <w:r w:rsidR="00A9460D" w:rsidRPr="008D5607">
        <w:rPr>
          <w:rFonts w:ascii="Arial" w:hAnsi="Arial" w:cs="Arial"/>
          <w:color w:val="000000"/>
          <w:sz w:val="22"/>
          <w:szCs w:val="22"/>
        </w:rPr>
        <w:t xml:space="preserve"> </w:t>
      </w:r>
      <w:r w:rsidRPr="008D5607">
        <w:rPr>
          <w:rFonts w:ascii="Arial" w:hAnsi="Arial" w:cs="Arial"/>
          <w:color w:val="000000"/>
          <w:sz w:val="22"/>
          <w:szCs w:val="22"/>
        </w:rPr>
        <w:t>o</w:t>
      </w:r>
      <w:r w:rsidR="00136F43">
        <w:rPr>
          <w:rFonts w:ascii="Arial" w:hAnsi="Arial" w:cs="Arial"/>
          <w:color w:val="000000"/>
          <w:sz w:val="22"/>
          <w:szCs w:val="22"/>
        </w:rPr>
        <w:t xml:space="preserve">n the use of ultrasound </w:t>
      </w:r>
      <w:r w:rsidR="00CC5005">
        <w:rPr>
          <w:rFonts w:ascii="Arial" w:hAnsi="Arial" w:cs="Arial"/>
          <w:color w:val="000000"/>
          <w:sz w:val="22"/>
          <w:szCs w:val="22"/>
        </w:rPr>
        <w:t>to guide</w:t>
      </w:r>
      <w:r w:rsidRPr="008D5607">
        <w:rPr>
          <w:rFonts w:ascii="Arial" w:hAnsi="Arial" w:cs="Arial"/>
          <w:color w:val="000000"/>
          <w:sz w:val="22"/>
          <w:szCs w:val="22"/>
        </w:rPr>
        <w:t xml:space="preserve"> bedside procedures. Th</w:t>
      </w:r>
      <w:r w:rsidR="00136F43">
        <w:rPr>
          <w:rFonts w:ascii="Arial" w:hAnsi="Arial" w:cs="Arial"/>
          <w:color w:val="000000"/>
          <w:sz w:val="22"/>
          <w:szCs w:val="22"/>
        </w:rPr>
        <w:t xml:space="preserve">e </w:t>
      </w:r>
      <w:r w:rsidR="00E71583">
        <w:rPr>
          <w:rFonts w:ascii="Arial" w:hAnsi="Arial" w:cs="Arial"/>
          <w:color w:val="000000"/>
          <w:sz w:val="22"/>
          <w:szCs w:val="22"/>
        </w:rPr>
        <w:t xml:space="preserve">chair of the </w:t>
      </w:r>
      <w:r w:rsidR="00136F43">
        <w:rPr>
          <w:rFonts w:ascii="Arial" w:hAnsi="Arial" w:cs="Arial"/>
          <w:color w:val="000000"/>
          <w:sz w:val="22"/>
          <w:szCs w:val="22"/>
        </w:rPr>
        <w:t xml:space="preserve">SHM Education </w:t>
      </w:r>
      <w:r w:rsidR="00E71583">
        <w:rPr>
          <w:rFonts w:ascii="Arial" w:hAnsi="Arial" w:cs="Arial"/>
          <w:color w:val="000000"/>
          <w:sz w:val="22"/>
          <w:szCs w:val="22"/>
        </w:rPr>
        <w:t>Committee</w:t>
      </w:r>
      <w:r w:rsidRPr="008D5607">
        <w:rPr>
          <w:rFonts w:ascii="Arial" w:hAnsi="Arial" w:cs="Arial"/>
          <w:color w:val="000000"/>
          <w:sz w:val="22"/>
          <w:szCs w:val="22"/>
        </w:rPr>
        <w:t xml:space="preserve"> appointed two chairs to lead the </w:t>
      </w:r>
      <w:r w:rsidR="00136F43">
        <w:rPr>
          <w:rFonts w:ascii="Arial" w:hAnsi="Arial" w:cs="Arial"/>
          <w:color w:val="000000"/>
          <w:sz w:val="22"/>
          <w:szCs w:val="22"/>
        </w:rPr>
        <w:t xml:space="preserve">guideline development project, a </w:t>
      </w:r>
      <w:r w:rsidRPr="008D5607">
        <w:rPr>
          <w:rFonts w:ascii="Arial" w:hAnsi="Arial" w:cs="Arial"/>
          <w:color w:val="000000"/>
          <w:sz w:val="22"/>
          <w:szCs w:val="22"/>
        </w:rPr>
        <w:t xml:space="preserve">subject matter expert </w:t>
      </w:r>
      <w:r w:rsidR="00136F43">
        <w:rPr>
          <w:rFonts w:ascii="Arial" w:hAnsi="Arial" w:cs="Arial"/>
          <w:color w:val="000000"/>
          <w:sz w:val="22"/>
          <w:szCs w:val="22"/>
        </w:rPr>
        <w:t>in POCUS and a</w:t>
      </w:r>
      <w:r w:rsidRPr="008D5607">
        <w:rPr>
          <w:rFonts w:ascii="Arial" w:hAnsi="Arial" w:cs="Arial"/>
          <w:color w:val="000000"/>
          <w:sz w:val="22"/>
          <w:szCs w:val="22"/>
        </w:rPr>
        <w:t xml:space="preserve"> senior member</w:t>
      </w:r>
      <w:r w:rsidR="00136F43">
        <w:rPr>
          <w:rFonts w:ascii="Arial" w:hAnsi="Arial" w:cs="Arial"/>
          <w:color w:val="000000"/>
          <w:sz w:val="22"/>
          <w:szCs w:val="22"/>
        </w:rPr>
        <w:t xml:space="preserve"> of the education committee</w:t>
      </w:r>
      <w:r w:rsidRPr="008D5607">
        <w:rPr>
          <w:rFonts w:ascii="Arial" w:hAnsi="Arial" w:cs="Arial"/>
          <w:color w:val="000000"/>
          <w:sz w:val="22"/>
          <w:szCs w:val="22"/>
        </w:rPr>
        <w:t>.  An additio</w:t>
      </w:r>
      <w:r w:rsidR="00136F43">
        <w:rPr>
          <w:rFonts w:ascii="Arial" w:hAnsi="Arial" w:cs="Arial"/>
          <w:color w:val="000000"/>
          <w:sz w:val="22"/>
          <w:szCs w:val="22"/>
        </w:rPr>
        <w:t xml:space="preserve">nal </w:t>
      </w:r>
      <w:r w:rsidR="00523AC1">
        <w:rPr>
          <w:rFonts w:ascii="Arial" w:hAnsi="Arial" w:cs="Arial"/>
          <w:color w:val="000000"/>
          <w:sz w:val="22"/>
          <w:szCs w:val="22"/>
        </w:rPr>
        <w:t xml:space="preserve">subject matter expert </w:t>
      </w:r>
      <w:r w:rsidR="00136F43">
        <w:rPr>
          <w:rFonts w:ascii="Arial" w:hAnsi="Arial" w:cs="Arial"/>
          <w:color w:val="000000"/>
          <w:sz w:val="22"/>
          <w:szCs w:val="22"/>
        </w:rPr>
        <w:t xml:space="preserve">co-chair </w:t>
      </w:r>
      <w:r w:rsidRPr="008D5607">
        <w:rPr>
          <w:rFonts w:ascii="Arial" w:hAnsi="Arial" w:cs="Arial"/>
          <w:color w:val="000000"/>
          <w:sz w:val="22"/>
          <w:szCs w:val="22"/>
        </w:rPr>
        <w:t>was added</w:t>
      </w:r>
      <w:r w:rsidR="00523AC1">
        <w:rPr>
          <w:rFonts w:ascii="Arial" w:hAnsi="Arial" w:cs="Arial"/>
          <w:color w:val="000000"/>
          <w:sz w:val="22"/>
          <w:szCs w:val="22"/>
        </w:rPr>
        <w:t xml:space="preserve"> </w:t>
      </w:r>
      <w:r w:rsidRPr="008D5607">
        <w:rPr>
          <w:rFonts w:ascii="Arial" w:hAnsi="Arial" w:cs="Arial"/>
          <w:color w:val="000000"/>
          <w:sz w:val="22"/>
          <w:szCs w:val="22"/>
        </w:rPr>
        <w:t>given the broad scope of the project.</w:t>
      </w:r>
    </w:p>
    <w:p w14:paraId="137B88A8" w14:textId="77777777" w:rsidR="008D5607" w:rsidRPr="008D5607" w:rsidRDefault="008D5607" w:rsidP="00030159">
      <w:pPr>
        <w:spacing w:line="480" w:lineRule="auto"/>
        <w:rPr>
          <w:rFonts w:ascii="Times" w:eastAsia="Times New Roman" w:hAnsi="Times" w:cs="Times New Roman"/>
          <w:sz w:val="20"/>
          <w:szCs w:val="20"/>
        </w:rPr>
      </w:pPr>
    </w:p>
    <w:p w14:paraId="05364584" w14:textId="077F0DD9" w:rsidR="008D5607" w:rsidRPr="00197708" w:rsidRDefault="007D3A66" w:rsidP="00030159">
      <w:pPr>
        <w:spacing w:line="480" w:lineRule="auto"/>
        <w:rPr>
          <w:rFonts w:ascii="Times" w:hAnsi="Times" w:cs="Times New Roman"/>
          <w:sz w:val="20"/>
          <w:szCs w:val="20"/>
        </w:rPr>
      </w:pPr>
      <w:r>
        <w:rPr>
          <w:rFonts w:ascii="Arial" w:hAnsi="Arial" w:cs="Arial"/>
          <w:color w:val="000000"/>
          <w:sz w:val="22"/>
          <w:szCs w:val="22"/>
        </w:rPr>
        <w:t xml:space="preserve">The </w:t>
      </w:r>
      <w:r w:rsidR="008D5607" w:rsidRPr="008D5607">
        <w:rPr>
          <w:rFonts w:ascii="Arial" w:hAnsi="Arial" w:cs="Arial"/>
          <w:color w:val="000000"/>
          <w:sz w:val="22"/>
          <w:szCs w:val="22"/>
        </w:rPr>
        <w:t>SHM POCUS Task Force was assembled to carry out this guideline development project</w:t>
      </w:r>
      <w:r>
        <w:rPr>
          <w:rFonts w:ascii="Arial" w:hAnsi="Arial" w:cs="Arial"/>
          <w:color w:val="000000"/>
          <w:sz w:val="22"/>
          <w:szCs w:val="22"/>
        </w:rPr>
        <w:t xml:space="preserve"> under the direction of t</w:t>
      </w:r>
      <w:r w:rsidRPr="008D5607">
        <w:rPr>
          <w:rFonts w:ascii="Arial" w:hAnsi="Arial" w:cs="Arial"/>
          <w:color w:val="000000"/>
          <w:sz w:val="22"/>
          <w:szCs w:val="22"/>
        </w:rPr>
        <w:t>he</w:t>
      </w:r>
      <w:r>
        <w:rPr>
          <w:rFonts w:ascii="Arial" w:hAnsi="Arial" w:cs="Arial"/>
          <w:color w:val="000000"/>
          <w:sz w:val="22"/>
          <w:szCs w:val="22"/>
        </w:rPr>
        <w:t xml:space="preserve"> SHM</w:t>
      </w:r>
      <w:r w:rsidRPr="008D5607">
        <w:rPr>
          <w:rFonts w:ascii="Arial" w:hAnsi="Arial" w:cs="Arial"/>
          <w:color w:val="000000"/>
          <w:sz w:val="22"/>
          <w:szCs w:val="22"/>
        </w:rPr>
        <w:t xml:space="preserve"> Board</w:t>
      </w:r>
      <w:r>
        <w:rPr>
          <w:rFonts w:ascii="Arial" w:hAnsi="Arial" w:cs="Arial"/>
          <w:color w:val="000000"/>
          <w:sz w:val="22"/>
          <w:szCs w:val="22"/>
        </w:rPr>
        <w:t xml:space="preserve"> of Directors, Director of Education, and Education Committee</w:t>
      </w:r>
      <w:r w:rsidR="008D5607" w:rsidRPr="008D5607">
        <w:rPr>
          <w:rFonts w:ascii="Arial" w:hAnsi="Arial" w:cs="Arial"/>
          <w:color w:val="000000"/>
          <w:sz w:val="22"/>
          <w:szCs w:val="22"/>
        </w:rPr>
        <w:t>. All expert panel members were physicians or advanced practice providers</w:t>
      </w:r>
      <w:r w:rsidR="00514E6B">
        <w:rPr>
          <w:rFonts w:ascii="Arial" w:hAnsi="Arial" w:cs="Arial"/>
          <w:color w:val="000000"/>
          <w:sz w:val="22"/>
          <w:szCs w:val="22"/>
        </w:rPr>
        <w:t xml:space="preserve"> with expertise in POCUS</w:t>
      </w:r>
      <w:r w:rsidR="00B7329C">
        <w:rPr>
          <w:rFonts w:ascii="Arial" w:hAnsi="Arial" w:cs="Arial"/>
          <w:color w:val="000000"/>
          <w:sz w:val="22"/>
          <w:szCs w:val="22"/>
        </w:rPr>
        <w:t xml:space="preserve">. </w:t>
      </w:r>
      <w:r w:rsidR="008D5607" w:rsidRPr="008D5607">
        <w:rPr>
          <w:rFonts w:ascii="Arial" w:hAnsi="Arial" w:cs="Arial"/>
          <w:color w:val="000000"/>
          <w:sz w:val="22"/>
          <w:szCs w:val="22"/>
        </w:rPr>
        <w:t>Expert panel members were divided into working group members, external peer revie</w:t>
      </w:r>
      <w:r w:rsidR="00514E6B">
        <w:rPr>
          <w:rFonts w:ascii="Arial" w:hAnsi="Arial" w:cs="Arial"/>
          <w:color w:val="000000"/>
          <w:sz w:val="22"/>
          <w:szCs w:val="22"/>
        </w:rPr>
        <w:t>wers, a</w:t>
      </w:r>
      <w:r w:rsidR="00B7329C">
        <w:rPr>
          <w:rFonts w:ascii="Arial" w:hAnsi="Arial" w:cs="Arial"/>
          <w:color w:val="000000"/>
          <w:sz w:val="22"/>
          <w:szCs w:val="22"/>
        </w:rPr>
        <w:t xml:space="preserve">nd a methodologist. </w:t>
      </w:r>
      <w:r w:rsidR="00514E6B">
        <w:rPr>
          <w:rFonts w:ascii="Arial" w:hAnsi="Arial" w:cs="Arial"/>
          <w:color w:val="000000"/>
          <w:sz w:val="22"/>
          <w:szCs w:val="22"/>
        </w:rPr>
        <w:t>A</w:t>
      </w:r>
      <w:r w:rsidR="008D5607" w:rsidRPr="008D5607">
        <w:rPr>
          <w:rFonts w:ascii="Arial" w:hAnsi="Arial" w:cs="Arial"/>
          <w:color w:val="000000"/>
          <w:sz w:val="22"/>
          <w:szCs w:val="22"/>
        </w:rPr>
        <w:t>ll expert panel members</w:t>
      </w:r>
      <w:r w:rsidR="00514E6B">
        <w:rPr>
          <w:rFonts w:ascii="Arial" w:hAnsi="Arial" w:cs="Arial"/>
          <w:color w:val="000000"/>
          <w:sz w:val="22"/>
          <w:szCs w:val="22"/>
        </w:rPr>
        <w:t xml:space="preserve"> and two members of the </w:t>
      </w:r>
      <w:r w:rsidR="00514E6B" w:rsidRPr="00197708">
        <w:rPr>
          <w:rFonts w:ascii="Arial" w:hAnsi="Arial" w:cs="Arial"/>
          <w:color w:val="000000"/>
          <w:sz w:val="22"/>
          <w:szCs w:val="22"/>
        </w:rPr>
        <w:t>SHM education committee</w:t>
      </w:r>
      <w:r w:rsidR="00B7329C">
        <w:rPr>
          <w:rFonts w:ascii="Arial" w:hAnsi="Arial" w:cs="Arial"/>
          <w:color w:val="000000"/>
          <w:sz w:val="22"/>
          <w:szCs w:val="22"/>
        </w:rPr>
        <w:t xml:space="preserve"> were voting members. </w:t>
      </w:r>
      <w:r w:rsidR="008D5607" w:rsidRPr="00197708">
        <w:rPr>
          <w:rFonts w:ascii="Arial" w:hAnsi="Arial" w:cs="Arial"/>
          <w:color w:val="000000"/>
          <w:sz w:val="22"/>
          <w:szCs w:val="22"/>
        </w:rPr>
        <w:t>Working group members were required to be hospitalist</w:t>
      </w:r>
      <w:r w:rsidR="006328FE" w:rsidRPr="00197708">
        <w:rPr>
          <w:rFonts w:ascii="Arial" w:hAnsi="Arial" w:cs="Arial"/>
          <w:color w:val="000000"/>
          <w:sz w:val="22"/>
          <w:szCs w:val="22"/>
        </w:rPr>
        <w:t xml:space="preserve">s </w:t>
      </w:r>
      <w:r w:rsidR="008A72E3">
        <w:rPr>
          <w:rFonts w:ascii="Arial" w:hAnsi="Arial" w:cs="Arial"/>
          <w:color w:val="000000"/>
          <w:sz w:val="22"/>
          <w:szCs w:val="22"/>
        </w:rPr>
        <w:t>per the SHM definition</w:t>
      </w:r>
      <w:r w:rsidR="00F742C7">
        <w:rPr>
          <w:rFonts w:ascii="Arial" w:hAnsi="Arial" w:cs="Arial"/>
          <w:color w:val="000000"/>
          <w:sz w:val="22"/>
          <w:szCs w:val="22"/>
        </w:rPr>
        <w:t xml:space="preserve"> (1)</w:t>
      </w:r>
      <w:r w:rsidR="008D5607" w:rsidRPr="00197708">
        <w:rPr>
          <w:rFonts w:ascii="Arial" w:hAnsi="Arial" w:cs="Arial"/>
          <w:color w:val="000000"/>
          <w:sz w:val="22"/>
          <w:szCs w:val="22"/>
        </w:rPr>
        <w:t xml:space="preserve"> </w:t>
      </w:r>
      <w:r w:rsidR="008A72E3">
        <w:rPr>
          <w:rFonts w:ascii="Arial" w:hAnsi="Arial" w:cs="Arial"/>
          <w:color w:val="000000"/>
          <w:sz w:val="22"/>
          <w:szCs w:val="22"/>
        </w:rPr>
        <w:t>and have</w:t>
      </w:r>
      <w:r w:rsidR="008D5607" w:rsidRPr="00197708">
        <w:rPr>
          <w:rFonts w:ascii="Arial" w:hAnsi="Arial" w:cs="Arial"/>
          <w:color w:val="000000"/>
          <w:sz w:val="22"/>
          <w:szCs w:val="22"/>
        </w:rPr>
        <w:t xml:space="preserve"> expertise in </w:t>
      </w:r>
      <w:r w:rsidR="00514E6B" w:rsidRPr="00197708">
        <w:rPr>
          <w:rFonts w:ascii="Arial" w:hAnsi="Arial" w:cs="Arial"/>
          <w:color w:val="000000"/>
          <w:sz w:val="22"/>
          <w:szCs w:val="22"/>
        </w:rPr>
        <w:t>POCUS</w:t>
      </w:r>
      <w:r w:rsidR="00B7329C">
        <w:rPr>
          <w:rFonts w:ascii="Arial" w:hAnsi="Arial" w:cs="Arial"/>
          <w:color w:val="000000"/>
          <w:sz w:val="22"/>
          <w:szCs w:val="22"/>
        </w:rPr>
        <w:t>.</w:t>
      </w:r>
      <w:r w:rsidR="008D5607" w:rsidRPr="00197708">
        <w:rPr>
          <w:rFonts w:ascii="Arial" w:hAnsi="Arial" w:cs="Arial"/>
          <w:color w:val="000000"/>
          <w:sz w:val="22"/>
          <w:szCs w:val="22"/>
        </w:rPr>
        <w:t> External peer reviewers were nationally recognized physician</w:t>
      </w:r>
      <w:r w:rsidR="00514E6B" w:rsidRPr="00197708">
        <w:rPr>
          <w:rFonts w:ascii="Arial" w:hAnsi="Arial" w:cs="Arial"/>
          <w:color w:val="000000"/>
          <w:sz w:val="22"/>
          <w:szCs w:val="22"/>
        </w:rPr>
        <w:t xml:space="preserve">s with expertise in POCUS </w:t>
      </w:r>
      <w:r w:rsidR="008D5607" w:rsidRPr="00197708">
        <w:rPr>
          <w:rFonts w:ascii="Arial" w:hAnsi="Arial" w:cs="Arial"/>
          <w:color w:val="000000"/>
          <w:sz w:val="22"/>
          <w:szCs w:val="22"/>
        </w:rPr>
        <w:t>from different specialties, including emergency medicine, critical care, anesthesiology, pulmonary/critical care, inte</w:t>
      </w:r>
      <w:r w:rsidR="00B7329C">
        <w:rPr>
          <w:rFonts w:ascii="Arial" w:hAnsi="Arial" w:cs="Arial"/>
          <w:color w:val="000000"/>
          <w:sz w:val="22"/>
          <w:szCs w:val="22"/>
        </w:rPr>
        <w:t xml:space="preserve">rnal medicine, and cardiology. </w:t>
      </w:r>
      <w:r w:rsidR="008D5607" w:rsidRPr="00197708">
        <w:rPr>
          <w:rFonts w:ascii="Arial" w:hAnsi="Arial" w:cs="Arial"/>
          <w:color w:val="000000"/>
          <w:sz w:val="22"/>
          <w:szCs w:val="22"/>
        </w:rPr>
        <w:t>All external peer reviewers had</w:t>
      </w:r>
      <w:r w:rsidR="00F742C7">
        <w:rPr>
          <w:rFonts w:ascii="Arial" w:hAnsi="Arial" w:cs="Arial"/>
          <w:color w:val="000000"/>
          <w:sz w:val="22"/>
          <w:szCs w:val="22"/>
        </w:rPr>
        <w:t xml:space="preserve"> to have</w:t>
      </w:r>
      <w:r w:rsidR="008D5607" w:rsidRPr="00197708">
        <w:rPr>
          <w:rFonts w:ascii="Arial" w:hAnsi="Arial" w:cs="Arial"/>
          <w:color w:val="000000"/>
          <w:sz w:val="22"/>
          <w:szCs w:val="22"/>
        </w:rPr>
        <w:t xml:space="preserve"> past experience in develo</w:t>
      </w:r>
      <w:r w:rsidR="00F742C7">
        <w:rPr>
          <w:rFonts w:ascii="Arial" w:hAnsi="Arial" w:cs="Arial"/>
          <w:color w:val="000000"/>
          <w:sz w:val="22"/>
          <w:szCs w:val="22"/>
        </w:rPr>
        <w:t>ping</w:t>
      </w:r>
      <w:r w:rsidR="008D5607" w:rsidRPr="00197708">
        <w:rPr>
          <w:rFonts w:ascii="Arial" w:hAnsi="Arial" w:cs="Arial"/>
          <w:color w:val="000000"/>
          <w:sz w:val="22"/>
          <w:szCs w:val="22"/>
        </w:rPr>
        <w:t xml:space="preserve"> point-of-care ultrasound gu</w:t>
      </w:r>
      <w:r w:rsidR="00514E6B" w:rsidRPr="00197708">
        <w:rPr>
          <w:rFonts w:ascii="Arial" w:hAnsi="Arial" w:cs="Arial"/>
          <w:color w:val="000000"/>
          <w:sz w:val="22"/>
          <w:szCs w:val="22"/>
        </w:rPr>
        <w:t>idelines</w:t>
      </w:r>
      <w:r w:rsidR="00F742C7">
        <w:rPr>
          <w:rFonts w:ascii="Arial" w:hAnsi="Arial" w:cs="Arial"/>
          <w:color w:val="000000"/>
          <w:sz w:val="22"/>
          <w:szCs w:val="22"/>
        </w:rPr>
        <w:t>, either serving as a chair or member</w:t>
      </w:r>
      <w:r w:rsidR="003603D6">
        <w:rPr>
          <w:rFonts w:ascii="Arial" w:hAnsi="Arial" w:cs="Arial"/>
          <w:color w:val="000000"/>
          <w:sz w:val="22"/>
          <w:szCs w:val="22"/>
        </w:rPr>
        <w:t xml:space="preserve"> of a guideline development pane</w:t>
      </w:r>
      <w:r w:rsidR="00F742C7">
        <w:rPr>
          <w:rFonts w:ascii="Arial" w:hAnsi="Arial" w:cs="Arial"/>
          <w:color w:val="000000"/>
          <w:sz w:val="22"/>
          <w:szCs w:val="22"/>
        </w:rPr>
        <w:t>l</w:t>
      </w:r>
      <w:r w:rsidR="00B7329C">
        <w:rPr>
          <w:rFonts w:ascii="Arial" w:hAnsi="Arial" w:cs="Arial"/>
          <w:color w:val="000000"/>
          <w:sz w:val="22"/>
          <w:szCs w:val="22"/>
        </w:rPr>
        <w:t xml:space="preserve">. </w:t>
      </w:r>
      <w:r w:rsidR="00514E6B" w:rsidRPr="00197708">
        <w:rPr>
          <w:rFonts w:ascii="Arial" w:hAnsi="Arial" w:cs="Arial"/>
          <w:color w:val="000000"/>
          <w:sz w:val="22"/>
          <w:szCs w:val="22"/>
        </w:rPr>
        <w:t>A methodologist</w:t>
      </w:r>
      <w:r w:rsidR="008D5607" w:rsidRPr="00197708">
        <w:rPr>
          <w:rFonts w:ascii="Arial" w:hAnsi="Arial" w:cs="Arial"/>
          <w:color w:val="000000"/>
          <w:sz w:val="22"/>
          <w:szCs w:val="22"/>
        </w:rPr>
        <w:t xml:space="preserve"> with clinical expertise in </w:t>
      </w:r>
      <w:r w:rsidR="00514E6B" w:rsidRPr="00197708">
        <w:rPr>
          <w:rFonts w:ascii="Arial" w:hAnsi="Arial" w:cs="Arial"/>
          <w:color w:val="000000"/>
          <w:sz w:val="22"/>
          <w:szCs w:val="22"/>
        </w:rPr>
        <w:t>POCUS</w:t>
      </w:r>
      <w:r w:rsidR="008D5607" w:rsidRPr="00197708">
        <w:rPr>
          <w:rFonts w:ascii="Arial" w:hAnsi="Arial" w:cs="Arial"/>
          <w:color w:val="000000"/>
          <w:sz w:val="22"/>
          <w:szCs w:val="22"/>
        </w:rPr>
        <w:t xml:space="preserve"> and past experience in </w:t>
      </w:r>
      <w:r w:rsidR="008E0447">
        <w:rPr>
          <w:rFonts w:ascii="Arial" w:hAnsi="Arial" w:cs="Arial"/>
          <w:color w:val="000000"/>
          <w:sz w:val="22"/>
          <w:szCs w:val="22"/>
        </w:rPr>
        <w:t xml:space="preserve">leading </w:t>
      </w:r>
      <w:r w:rsidR="008D5607" w:rsidRPr="00197708">
        <w:rPr>
          <w:rFonts w:ascii="Arial" w:hAnsi="Arial" w:cs="Arial"/>
          <w:color w:val="000000"/>
          <w:sz w:val="22"/>
          <w:szCs w:val="22"/>
        </w:rPr>
        <w:t>development of</w:t>
      </w:r>
      <w:r w:rsidR="00F742C7">
        <w:rPr>
          <w:rFonts w:ascii="Arial" w:hAnsi="Arial" w:cs="Arial"/>
          <w:color w:val="000000"/>
          <w:sz w:val="22"/>
          <w:szCs w:val="22"/>
        </w:rPr>
        <w:t xml:space="preserve"> </w:t>
      </w:r>
      <w:r w:rsidR="00F742C7" w:rsidRPr="00197708">
        <w:rPr>
          <w:rFonts w:ascii="Arial" w:hAnsi="Arial" w:cs="Arial"/>
          <w:color w:val="000000"/>
          <w:sz w:val="22"/>
          <w:szCs w:val="22"/>
        </w:rPr>
        <w:t>POCUS</w:t>
      </w:r>
      <w:r w:rsidR="008D5607" w:rsidRPr="00197708">
        <w:rPr>
          <w:rFonts w:ascii="Arial" w:hAnsi="Arial" w:cs="Arial"/>
          <w:color w:val="000000"/>
          <w:sz w:val="22"/>
          <w:szCs w:val="22"/>
        </w:rPr>
        <w:t xml:space="preserve"> guidelines</w:t>
      </w:r>
      <w:r w:rsidR="00F742C7">
        <w:rPr>
          <w:rFonts w:ascii="Arial" w:hAnsi="Arial" w:cs="Arial"/>
          <w:color w:val="000000"/>
          <w:sz w:val="22"/>
          <w:szCs w:val="22"/>
        </w:rPr>
        <w:t xml:space="preserve"> </w:t>
      </w:r>
      <w:r w:rsidR="008D5607" w:rsidRPr="00197708">
        <w:rPr>
          <w:rFonts w:ascii="Arial" w:hAnsi="Arial" w:cs="Arial"/>
          <w:color w:val="000000"/>
          <w:sz w:val="22"/>
          <w:szCs w:val="22"/>
        </w:rPr>
        <w:t>served on the expert panel. Non-voting Task Force members i</w:t>
      </w:r>
      <w:r w:rsidR="00514E6B" w:rsidRPr="00197708">
        <w:rPr>
          <w:rFonts w:ascii="Arial" w:hAnsi="Arial" w:cs="Arial"/>
          <w:color w:val="000000"/>
          <w:sz w:val="22"/>
          <w:szCs w:val="22"/>
        </w:rPr>
        <w:t>ncluded a medical librarian</w:t>
      </w:r>
      <w:r w:rsidR="008D5607" w:rsidRPr="00197708">
        <w:rPr>
          <w:rFonts w:ascii="Arial" w:hAnsi="Arial" w:cs="Arial"/>
          <w:color w:val="000000"/>
          <w:sz w:val="22"/>
          <w:szCs w:val="22"/>
        </w:rPr>
        <w:t xml:space="preserve">, </w:t>
      </w:r>
      <w:r w:rsidR="00CC5005">
        <w:rPr>
          <w:rFonts w:ascii="Arial" w:hAnsi="Arial" w:cs="Arial"/>
          <w:color w:val="000000"/>
          <w:sz w:val="22"/>
          <w:szCs w:val="22"/>
        </w:rPr>
        <w:t xml:space="preserve">the </w:t>
      </w:r>
      <w:r w:rsidR="008D5607" w:rsidRPr="00197708">
        <w:rPr>
          <w:rFonts w:ascii="Arial" w:hAnsi="Arial" w:cs="Arial"/>
          <w:color w:val="000000"/>
          <w:sz w:val="22"/>
          <w:szCs w:val="22"/>
        </w:rPr>
        <w:t>SH</w:t>
      </w:r>
      <w:r w:rsidR="00514E6B" w:rsidRPr="00197708">
        <w:rPr>
          <w:rFonts w:ascii="Arial" w:hAnsi="Arial" w:cs="Arial"/>
          <w:color w:val="000000"/>
          <w:sz w:val="22"/>
          <w:szCs w:val="22"/>
        </w:rPr>
        <w:t xml:space="preserve">M Education Committee Chair, and </w:t>
      </w:r>
      <w:r w:rsidR="00F742C7">
        <w:rPr>
          <w:rFonts w:ascii="Arial" w:hAnsi="Arial" w:cs="Arial"/>
          <w:color w:val="000000"/>
          <w:sz w:val="22"/>
          <w:szCs w:val="22"/>
        </w:rPr>
        <w:t>the</w:t>
      </w:r>
      <w:r w:rsidR="00514E6B" w:rsidRPr="00197708">
        <w:rPr>
          <w:rFonts w:ascii="Arial" w:hAnsi="Arial" w:cs="Arial"/>
          <w:color w:val="000000"/>
          <w:sz w:val="22"/>
          <w:szCs w:val="22"/>
        </w:rPr>
        <w:t xml:space="preserve"> SHM </w:t>
      </w:r>
      <w:r w:rsidR="00F742C7">
        <w:rPr>
          <w:rFonts w:ascii="Arial" w:hAnsi="Arial" w:cs="Arial"/>
          <w:color w:val="000000"/>
          <w:sz w:val="22"/>
          <w:szCs w:val="22"/>
        </w:rPr>
        <w:t>Director of Education</w:t>
      </w:r>
      <w:r w:rsidR="00104AD6" w:rsidRPr="00197708">
        <w:rPr>
          <w:rFonts w:ascii="Arial" w:hAnsi="Arial" w:cs="Arial"/>
          <w:color w:val="000000"/>
          <w:sz w:val="22"/>
          <w:szCs w:val="22"/>
        </w:rPr>
        <w:t xml:space="preserve"> (see Acknowledgements)</w:t>
      </w:r>
      <w:r w:rsidR="008D5607" w:rsidRPr="00197708">
        <w:rPr>
          <w:rFonts w:ascii="Arial" w:hAnsi="Arial" w:cs="Arial"/>
          <w:color w:val="000000"/>
          <w:sz w:val="22"/>
          <w:szCs w:val="22"/>
        </w:rPr>
        <w:t>.</w:t>
      </w:r>
    </w:p>
    <w:p w14:paraId="0E157A13" w14:textId="77777777" w:rsidR="008D5607" w:rsidRPr="00197708" w:rsidRDefault="008D5607" w:rsidP="00030159">
      <w:pPr>
        <w:spacing w:line="480" w:lineRule="auto"/>
        <w:rPr>
          <w:rFonts w:ascii="Times" w:eastAsia="Times New Roman" w:hAnsi="Times" w:cs="Times New Roman"/>
          <w:sz w:val="20"/>
          <w:szCs w:val="20"/>
        </w:rPr>
      </w:pPr>
    </w:p>
    <w:p w14:paraId="68F8E951" w14:textId="77777777" w:rsidR="008D5607" w:rsidRPr="00197708" w:rsidRDefault="008D5607" w:rsidP="00030159">
      <w:pPr>
        <w:spacing w:line="480" w:lineRule="auto"/>
        <w:rPr>
          <w:rFonts w:ascii="Times" w:hAnsi="Times" w:cs="Times New Roman"/>
          <w:sz w:val="20"/>
          <w:szCs w:val="20"/>
        </w:rPr>
      </w:pPr>
      <w:r w:rsidRPr="00197708">
        <w:rPr>
          <w:rFonts w:ascii="Arial" w:hAnsi="Arial" w:cs="Arial"/>
          <w:color w:val="000000"/>
          <w:sz w:val="22"/>
          <w:szCs w:val="22"/>
          <w:u w:val="single"/>
        </w:rPr>
        <w:t>Disclosures</w:t>
      </w:r>
    </w:p>
    <w:p w14:paraId="30F02812" w14:textId="021F6276" w:rsidR="008D5607" w:rsidRDefault="006220F2" w:rsidP="00030159">
      <w:pPr>
        <w:spacing w:line="480" w:lineRule="auto"/>
        <w:rPr>
          <w:rFonts w:ascii="Times" w:hAnsi="Times" w:cs="Times New Roman"/>
          <w:sz w:val="20"/>
          <w:szCs w:val="20"/>
        </w:rPr>
      </w:pPr>
      <w:r>
        <w:rPr>
          <w:rFonts w:ascii="Arial" w:hAnsi="Arial" w:cs="Arial"/>
          <w:color w:val="000000"/>
          <w:sz w:val="22"/>
          <w:szCs w:val="22"/>
        </w:rPr>
        <w:t>This project d</w:t>
      </w:r>
      <w:r w:rsidR="00CC5005">
        <w:rPr>
          <w:rFonts w:ascii="Arial" w:hAnsi="Arial" w:cs="Arial"/>
          <w:color w:val="000000"/>
          <w:sz w:val="22"/>
          <w:szCs w:val="22"/>
        </w:rPr>
        <w:t>id not receive any funding from</w:t>
      </w:r>
      <w:r>
        <w:rPr>
          <w:rFonts w:ascii="Arial" w:hAnsi="Arial" w:cs="Arial"/>
          <w:color w:val="000000"/>
          <w:sz w:val="22"/>
          <w:szCs w:val="22"/>
        </w:rPr>
        <w:t xml:space="preserve"> </w:t>
      </w:r>
      <w:r w:rsidR="008E0447">
        <w:rPr>
          <w:rFonts w:ascii="Arial" w:hAnsi="Arial" w:cs="Arial"/>
          <w:color w:val="000000"/>
          <w:sz w:val="22"/>
          <w:szCs w:val="22"/>
        </w:rPr>
        <w:t>any</w:t>
      </w:r>
      <w:r>
        <w:rPr>
          <w:rFonts w:ascii="Arial" w:hAnsi="Arial" w:cs="Arial"/>
          <w:color w:val="000000"/>
          <w:sz w:val="22"/>
          <w:szCs w:val="22"/>
        </w:rPr>
        <w:t xml:space="preserve"> external sponsors</w:t>
      </w:r>
      <w:r w:rsidR="008E0447">
        <w:rPr>
          <w:rFonts w:ascii="Arial" w:hAnsi="Arial" w:cs="Arial"/>
          <w:color w:val="000000"/>
          <w:sz w:val="22"/>
          <w:szCs w:val="22"/>
        </w:rPr>
        <w:t xml:space="preserve"> or SHM</w:t>
      </w:r>
      <w:r w:rsidR="00B7329C">
        <w:rPr>
          <w:rFonts w:ascii="Arial" w:hAnsi="Arial" w:cs="Arial"/>
          <w:color w:val="000000"/>
          <w:sz w:val="22"/>
          <w:szCs w:val="22"/>
        </w:rPr>
        <w:t xml:space="preserve">. </w:t>
      </w:r>
      <w:r>
        <w:rPr>
          <w:rFonts w:ascii="Arial" w:hAnsi="Arial" w:cs="Arial"/>
          <w:color w:val="000000"/>
          <w:sz w:val="22"/>
          <w:szCs w:val="22"/>
        </w:rPr>
        <w:t xml:space="preserve">All </w:t>
      </w:r>
      <w:r w:rsidRPr="00197708">
        <w:rPr>
          <w:rFonts w:ascii="Arial" w:hAnsi="Arial" w:cs="Arial"/>
          <w:color w:val="000000"/>
          <w:sz w:val="22"/>
          <w:szCs w:val="22"/>
        </w:rPr>
        <w:t>Task Force</w:t>
      </w:r>
      <w:r>
        <w:rPr>
          <w:rFonts w:ascii="Arial" w:hAnsi="Arial" w:cs="Arial"/>
          <w:color w:val="000000"/>
          <w:sz w:val="22"/>
          <w:szCs w:val="22"/>
        </w:rPr>
        <w:t xml:space="preserve"> members voluntarily participated, and none </w:t>
      </w:r>
      <w:r w:rsidRPr="008D5607">
        <w:rPr>
          <w:rFonts w:ascii="Arial" w:hAnsi="Arial" w:cs="Arial"/>
          <w:color w:val="000000"/>
          <w:sz w:val="22"/>
          <w:szCs w:val="22"/>
        </w:rPr>
        <w:t xml:space="preserve">received </w:t>
      </w:r>
      <w:r>
        <w:rPr>
          <w:rFonts w:ascii="Arial" w:hAnsi="Arial" w:cs="Arial"/>
          <w:color w:val="000000"/>
          <w:sz w:val="22"/>
          <w:szCs w:val="22"/>
        </w:rPr>
        <w:t>an honorarium</w:t>
      </w:r>
      <w:r w:rsidRPr="008D5607">
        <w:rPr>
          <w:rFonts w:ascii="Arial" w:hAnsi="Arial" w:cs="Arial"/>
          <w:color w:val="000000"/>
          <w:sz w:val="22"/>
          <w:szCs w:val="22"/>
        </w:rPr>
        <w:t xml:space="preserve"> for participation</w:t>
      </w:r>
      <w:r>
        <w:rPr>
          <w:rFonts w:ascii="Arial" w:hAnsi="Arial" w:cs="Arial"/>
          <w:color w:val="000000"/>
          <w:sz w:val="22"/>
          <w:szCs w:val="22"/>
        </w:rPr>
        <w:t>.</w:t>
      </w:r>
      <w:r w:rsidRPr="00197708">
        <w:rPr>
          <w:rFonts w:ascii="Arial" w:hAnsi="Arial" w:cs="Arial"/>
          <w:color w:val="000000"/>
          <w:sz w:val="22"/>
          <w:szCs w:val="22"/>
        </w:rPr>
        <w:t xml:space="preserve"> There was no industry input in the development of the</w:t>
      </w:r>
      <w:r>
        <w:rPr>
          <w:rFonts w:ascii="Arial" w:hAnsi="Arial" w:cs="Arial"/>
          <w:color w:val="000000"/>
          <w:sz w:val="22"/>
          <w:szCs w:val="22"/>
        </w:rPr>
        <w:t>se</w:t>
      </w:r>
      <w:r w:rsidRPr="00197708">
        <w:rPr>
          <w:rFonts w:ascii="Arial" w:hAnsi="Arial" w:cs="Arial"/>
          <w:color w:val="000000"/>
          <w:sz w:val="22"/>
          <w:szCs w:val="22"/>
        </w:rPr>
        <w:t xml:space="preserve"> guidelines, nor industry presence during any conference calls or meetings.</w:t>
      </w:r>
      <w:r>
        <w:rPr>
          <w:rFonts w:ascii="Arial" w:hAnsi="Arial" w:cs="Arial"/>
          <w:color w:val="000000"/>
          <w:sz w:val="22"/>
          <w:szCs w:val="22"/>
        </w:rPr>
        <w:t xml:space="preserve"> </w:t>
      </w:r>
      <w:r w:rsidR="00104AD6" w:rsidRPr="00197708">
        <w:rPr>
          <w:rFonts w:ascii="Arial" w:hAnsi="Arial" w:cs="Arial"/>
          <w:color w:val="000000"/>
          <w:sz w:val="22"/>
          <w:szCs w:val="22"/>
        </w:rPr>
        <w:t xml:space="preserve">All SHM POCUS </w:t>
      </w:r>
      <w:r w:rsidR="008D5607" w:rsidRPr="00197708">
        <w:rPr>
          <w:rFonts w:ascii="Arial" w:hAnsi="Arial" w:cs="Arial"/>
          <w:color w:val="000000"/>
          <w:sz w:val="22"/>
          <w:szCs w:val="22"/>
        </w:rPr>
        <w:t>Task Force members were required to disclose any potential conflicts of interests</w:t>
      </w:r>
      <w:r w:rsidR="00104AD6" w:rsidRPr="00197708">
        <w:rPr>
          <w:rFonts w:ascii="Arial" w:hAnsi="Arial" w:cs="Arial"/>
          <w:color w:val="000000"/>
          <w:sz w:val="22"/>
          <w:szCs w:val="22"/>
        </w:rPr>
        <w:t xml:space="preserve">. </w:t>
      </w:r>
      <w:r w:rsidR="00F742C7" w:rsidRPr="008D5607">
        <w:rPr>
          <w:rFonts w:ascii="Arial" w:hAnsi="Arial" w:cs="Arial"/>
          <w:color w:val="000000"/>
          <w:sz w:val="22"/>
          <w:szCs w:val="22"/>
        </w:rPr>
        <w:t xml:space="preserve">Signed disclosure </w:t>
      </w:r>
      <w:r w:rsidR="00F742C7" w:rsidRPr="008D5607">
        <w:rPr>
          <w:rFonts w:ascii="Arial" w:hAnsi="Arial" w:cs="Arial"/>
          <w:color w:val="000000"/>
          <w:sz w:val="22"/>
          <w:szCs w:val="22"/>
        </w:rPr>
        <w:lastRenderedPageBreak/>
        <w:t xml:space="preserve">statements of all </w:t>
      </w:r>
      <w:r w:rsidR="00F742C7" w:rsidRPr="00F822E6">
        <w:rPr>
          <w:rFonts w:ascii="Arial" w:hAnsi="Arial" w:cs="Arial"/>
          <w:color w:val="000000"/>
          <w:sz w:val="22"/>
          <w:szCs w:val="22"/>
        </w:rPr>
        <w:t xml:space="preserve">members were reviewed </w:t>
      </w:r>
      <w:r w:rsidR="00F742C7">
        <w:rPr>
          <w:rFonts w:ascii="Arial" w:hAnsi="Arial" w:cs="Arial"/>
          <w:color w:val="000000"/>
          <w:sz w:val="22"/>
          <w:szCs w:val="22"/>
        </w:rPr>
        <w:t>by the SHM Director of Education and a</w:t>
      </w:r>
      <w:r w:rsidR="0069120B">
        <w:rPr>
          <w:rFonts w:ascii="Arial" w:hAnsi="Arial" w:cs="Arial"/>
          <w:color w:val="000000"/>
          <w:sz w:val="22"/>
          <w:szCs w:val="22"/>
        </w:rPr>
        <w:t>n</w:t>
      </w:r>
      <w:r w:rsidR="00F742C7">
        <w:rPr>
          <w:rFonts w:ascii="Arial" w:hAnsi="Arial" w:cs="Arial"/>
          <w:color w:val="000000"/>
          <w:sz w:val="22"/>
          <w:szCs w:val="22"/>
        </w:rPr>
        <w:t xml:space="preserve"> SHM POCUS Task Force chair </w:t>
      </w:r>
      <w:r w:rsidR="00F742C7" w:rsidRPr="00F822E6">
        <w:rPr>
          <w:rFonts w:ascii="Arial" w:hAnsi="Arial" w:cs="Arial"/>
          <w:color w:val="000000"/>
          <w:sz w:val="22"/>
          <w:szCs w:val="22"/>
        </w:rPr>
        <w:t>prior to inclusion on the Task Force</w:t>
      </w:r>
      <w:r w:rsidR="00F742C7">
        <w:rPr>
          <w:rFonts w:ascii="Arial" w:hAnsi="Arial" w:cs="Arial"/>
          <w:color w:val="000000"/>
          <w:sz w:val="22"/>
          <w:szCs w:val="22"/>
        </w:rPr>
        <w:t xml:space="preserve">.  </w:t>
      </w:r>
      <w:r w:rsidR="00D154D0">
        <w:rPr>
          <w:rFonts w:ascii="Arial" w:hAnsi="Arial" w:cs="Arial"/>
          <w:color w:val="000000"/>
          <w:sz w:val="22"/>
          <w:szCs w:val="22"/>
        </w:rPr>
        <w:t>One</w:t>
      </w:r>
      <w:r w:rsidR="008D5607" w:rsidRPr="00197708">
        <w:rPr>
          <w:rFonts w:ascii="Arial" w:hAnsi="Arial" w:cs="Arial"/>
          <w:color w:val="000000"/>
          <w:sz w:val="22"/>
          <w:szCs w:val="22"/>
        </w:rPr>
        <w:t xml:space="preserve"> of the thoracentesis working group members</w:t>
      </w:r>
      <w:r w:rsidR="00D154D0">
        <w:rPr>
          <w:rFonts w:ascii="Arial" w:hAnsi="Arial" w:cs="Arial"/>
          <w:color w:val="000000"/>
          <w:sz w:val="22"/>
          <w:szCs w:val="22"/>
        </w:rPr>
        <w:t>, t</w:t>
      </w:r>
      <w:r w:rsidR="008D5607" w:rsidRPr="00197708">
        <w:rPr>
          <w:rFonts w:ascii="Arial" w:hAnsi="Arial" w:cs="Arial"/>
          <w:color w:val="000000"/>
          <w:sz w:val="22"/>
          <w:szCs w:val="22"/>
        </w:rPr>
        <w:t xml:space="preserve">wo </w:t>
      </w:r>
      <w:r w:rsidR="00D154D0">
        <w:rPr>
          <w:rFonts w:ascii="Arial" w:hAnsi="Arial" w:cs="Arial"/>
          <w:color w:val="000000"/>
          <w:sz w:val="22"/>
          <w:szCs w:val="22"/>
        </w:rPr>
        <w:t xml:space="preserve">of the </w:t>
      </w:r>
      <w:r w:rsidR="008D5607" w:rsidRPr="00197708">
        <w:rPr>
          <w:rFonts w:ascii="Arial" w:hAnsi="Arial" w:cs="Arial"/>
          <w:color w:val="000000"/>
          <w:sz w:val="22"/>
          <w:szCs w:val="22"/>
        </w:rPr>
        <w:t>external peer reviewers</w:t>
      </w:r>
      <w:r w:rsidR="00D154D0">
        <w:rPr>
          <w:rFonts w:ascii="Arial" w:hAnsi="Arial" w:cs="Arial"/>
          <w:color w:val="000000"/>
          <w:sz w:val="22"/>
          <w:szCs w:val="22"/>
        </w:rPr>
        <w:t>,</w:t>
      </w:r>
      <w:r w:rsidR="008D5607" w:rsidRPr="00197708">
        <w:rPr>
          <w:rFonts w:ascii="Arial" w:hAnsi="Arial" w:cs="Arial"/>
          <w:color w:val="000000"/>
          <w:sz w:val="22"/>
          <w:szCs w:val="22"/>
        </w:rPr>
        <w:t xml:space="preserve"> and one of the chairs reported</w:t>
      </w:r>
      <w:r w:rsidR="008E0447">
        <w:rPr>
          <w:rFonts w:ascii="Arial" w:hAnsi="Arial" w:cs="Arial"/>
          <w:color w:val="000000"/>
          <w:sz w:val="22"/>
          <w:szCs w:val="22"/>
        </w:rPr>
        <w:t xml:space="preserve"> </w:t>
      </w:r>
      <w:r w:rsidR="008D5607" w:rsidRPr="00197708">
        <w:rPr>
          <w:rFonts w:ascii="Arial" w:hAnsi="Arial" w:cs="Arial"/>
          <w:color w:val="000000"/>
          <w:sz w:val="22"/>
          <w:szCs w:val="22"/>
        </w:rPr>
        <w:t>financial relationships</w:t>
      </w:r>
      <w:r w:rsidR="00B7329C">
        <w:rPr>
          <w:rFonts w:ascii="Arial" w:hAnsi="Arial" w:cs="Arial"/>
          <w:color w:val="000000"/>
          <w:sz w:val="22"/>
          <w:szCs w:val="22"/>
        </w:rPr>
        <w:t>.</w:t>
      </w:r>
      <w:r w:rsidR="008D5607" w:rsidRPr="00197708">
        <w:rPr>
          <w:rFonts w:ascii="Arial" w:hAnsi="Arial" w:cs="Arial"/>
          <w:color w:val="000000"/>
          <w:sz w:val="22"/>
          <w:szCs w:val="22"/>
        </w:rPr>
        <w:t> </w:t>
      </w:r>
      <w:r w:rsidR="00C27E1A" w:rsidRPr="00197708">
        <w:rPr>
          <w:rFonts w:ascii="Arial" w:hAnsi="Arial" w:cs="Arial"/>
          <w:sz w:val="22"/>
          <w:szCs w:val="22"/>
        </w:rPr>
        <w:t>Decisions to approve participation were guided by the 2008 and 2011 Institute of Medicine (IOM) reports on development of trustworthy Clinical Practice Guidelines</w:t>
      </w:r>
      <w:r w:rsidR="006328FE" w:rsidRPr="00197708">
        <w:rPr>
          <w:rFonts w:ascii="Arial" w:hAnsi="Arial" w:cs="Arial"/>
          <w:sz w:val="22"/>
          <w:szCs w:val="22"/>
        </w:rPr>
        <w:t xml:space="preserve"> (2,3). </w:t>
      </w:r>
      <w:r w:rsidR="00D154D0">
        <w:rPr>
          <w:rFonts w:ascii="Arial" w:hAnsi="Arial" w:cs="Arial"/>
          <w:color w:val="000000"/>
          <w:sz w:val="22"/>
          <w:szCs w:val="22"/>
        </w:rPr>
        <w:t>Prior to submission of this</w:t>
      </w:r>
      <w:r w:rsidR="00F742C7">
        <w:rPr>
          <w:rFonts w:ascii="Arial" w:hAnsi="Arial" w:cs="Arial"/>
          <w:color w:val="000000"/>
          <w:sz w:val="22"/>
          <w:szCs w:val="22"/>
        </w:rPr>
        <w:t xml:space="preserve"> manuscript, all Task Force members were required to submit an updated conflict of interest disclosure statement </w:t>
      </w:r>
      <w:r>
        <w:rPr>
          <w:rFonts w:ascii="Arial" w:hAnsi="Arial" w:cs="Arial"/>
          <w:color w:val="000000"/>
          <w:sz w:val="22"/>
          <w:szCs w:val="22"/>
        </w:rPr>
        <w:t>for inclusion as an</w:t>
      </w:r>
      <w:r w:rsidR="006F65F6">
        <w:rPr>
          <w:rFonts w:ascii="Arial" w:hAnsi="Arial" w:cs="Arial"/>
          <w:color w:val="000000"/>
          <w:sz w:val="22"/>
          <w:szCs w:val="22"/>
        </w:rPr>
        <w:t xml:space="preserve"> author or collaborator</w:t>
      </w:r>
      <w:r w:rsidR="00134E8B">
        <w:rPr>
          <w:rFonts w:ascii="Arial" w:hAnsi="Arial" w:cs="Arial"/>
          <w:color w:val="000000"/>
          <w:sz w:val="22"/>
          <w:szCs w:val="22"/>
        </w:rPr>
        <w:t xml:space="preserve"> on the</w:t>
      </w:r>
      <w:r>
        <w:rPr>
          <w:rFonts w:ascii="Arial" w:hAnsi="Arial" w:cs="Arial"/>
          <w:color w:val="000000"/>
          <w:sz w:val="22"/>
          <w:szCs w:val="22"/>
        </w:rPr>
        <w:t xml:space="preserve"> final</w:t>
      </w:r>
      <w:r w:rsidR="00134E8B">
        <w:rPr>
          <w:rFonts w:ascii="Arial" w:hAnsi="Arial" w:cs="Arial"/>
          <w:color w:val="000000"/>
          <w:sz w:val="22"/>
          <w:szCs w:val="22"/>
        </w:rPr>
        <w:t xml:space="preserve"> manuscript</w:t>
      </w:r>
      <w:r w:rsidR="006F65F6">
        <w:rPr>
          <w:rFonts w:ascii="Arial" w:hAnsi="Arial" w:cs="Arial"/>
          <w:color w:val="000000"/>
          <w:sz w:val="22"/>
          <w:szCs w:val="22"/>
        </w:rPr>
        <w:t>.</w:t>
      </w:r>
      <w:r w:rsidR="008D5607" w:rsidRPr="008D5607">
        <w:rPr>
          <w:rFonts w:ascii="Arial" w:hAnsi="Arial" w:cs="Arial"/>
          <w:color w:val="000000"/>
          <w:sz w:val="22"/>
          <w:szCs w:val="22"/>
        </w:rPr>
        <w:t> </w:t>
      </w:r>
      <w:r w:rsidR="008D5607" w:rsidRPr="00F822E6">
        <w:rPr>
          <w:rFonts w:ascii="Arial" w:hAnsi="Arial" w:cs="Arial"/>
          <w:color w:val="000000"/>
          <w:sz w:val="22"/>
          <w:szCs w:val="22"/>
        </w:rPr>
        <w:t> Conflict of Interest disclosures are included in</w:t>
      </w:r>
      <w:r w:rsidR="00F822E6">
        <w:rPr>
          <w:rFonts w:ascii="Arial" w:hAnsi="Arial" w:cs="Arial"/>
          <w:color w:val="000000"/>
          <w:sz w:val="22"/>
          <w:szCs w:val="22"/>
        </w:rPr>
        <w:t xml:space="preserve"> Appendix 2.</w:t>
      </w:r>
    </w:p>
    <w:p w14:paraId="451B15AF" w14:textId="77777777" w:rsidR="00F822E6" w:rsidRPr="00F822E6" w:rsidRDefault="00F822E6" w:rsidP="00030159">
      <w:pPr>
        <w:spacing w:line="480" w:lineRule="auto"/>
        <w:rPr>
          <w:rFonts w:ascii="Times" w:hAnsi="Times" w:cs="Times New Roman"/>
          <w:sz w:val="20"/>
          <w:szCs w:val="20"/>
        </w:rPr>
      </w:pPr>
    </w:p>
    <w:p w14:paraId="083E191A" w14:textId="77777777" w:rsidR="008D5607" w:rsidRPr="008D5607" w:rsidRDefault="008D5607" w:rsidP="00030159">
      <w:pPr>
        <w:spacing w:line="480" w:lineRule="auto"/>
        <w:rPr>
          <w:rFonts w:ascii="Times" w:hAnsi="Times" w:cs="Times New Roman"/>
          <w:sz w:val="20"/>
          <w:szCs w:val="20"/>
        </w:rPr>
      </w:pPr>
      <w:r w:rsidRPr="008D5607">
        <w:rPr>
          <w:rFonts w:ascii="Arial" w:hAnsi="Arial" w:cs="Arial"/>
          <w:color w:val="000000"/>
          <w:sz w:val="22"/>
          <w:szCs w:val="22"/>
          <w:u w:val="single"/>
        </w:rPr>
        <w:t>Literature Search Strategy</w:t>
      </w:r>
    </w:p>
    <w:p w14:paraId="4EAD60DA" w14:textId="6A0700A7" w:rsidR="002B4102" w:rsidRDefault="008D5607" w:rsidP="00030159">
      <w:pPr>
        <w:spacing w:line="480" w:lineRule="auto"/>
        <w:rPr>
          <w:rFonts w:ascii="Arial" w:hAnsi="Arial" w:cs="Arial"/>
          <w:color w:val="000000"/>
          <w:sz w:val="22"/>
          <w:szCs w:val="22"/>
        </w:rPr>
      </w:pPr>
      <w:r w:rsidRPr="008D5607">
        <w:rPr>
          <w:rFonts w:ascii="Arial" w:hAnsi="Arial" w:cs="Arial"/>
          <w:color w:val="000000"/>
          <w:sz w:val="22"/>
          <w:szCs w:val="22"/>
        </w:rPr>
        <w:t>The literature search was con</w:t>
      </w:r>
      <w:r w:rsidR="00F85FB7">
        <w:rPr>
          <w:rFonts w:ascii="Arial" w:hAnsi="Arial" w:cs="Arial"/>
          <w:color w:val="000000"/>
          <w:sz w:val="22"/>
          <w:szCs w:val="22"/>
        </w:rPr>
        <w:t>ducted in two independent phases</w:t>
      </w:r>
      <w:r w:rsidR="00F822E6">
        <w:rPr>
          <w:rFonts w:ascii="Arial" w:hAnsi="Arial" w:cs="Arial"/>
          <w:color w:val="000000"/>
          <w:sz w:val="22"/>
          <w:szCs w:val="22"/>
        </w:rPr>
        <w:t>. The first</w:t>
      </w:r>
      <w:r w:rsidR="00F85FB7">
        <w:rPr>
          <w:rFonts w:ascii="Arial" w:hAnsi="Arial" w:cs="Arial"/>
          <w:color w:val="000000"/>
          <w:sz w:val="22"/>
          <w:szCs w:val="22"/>
        </w:rPr>
        <w:t xml:space="preserve"> phase</w:t>
      </w:r>
      <w:r w:rsidR="00F822E6">
        <w:rPr>
          <w:rFonts w:ascii="Arial" w:hAnsi="Arial" w:cs="Arial"/>
          <w:color w:val="000000"/>
          <w:sz w:val="22"/>
          <w:szCs w:val="22"/>
        </w:rPr>
        <w:t xml:space="preserve"> included independent literature searches</w:t>
      </w:r>
      <w:r w:rsidRPr="008D5607">
        <w:rPr>
          <w:rFonts w:ascii="Arial" w:hAnsi="Arial" w:cs="Arial"/>
          <w:color w:val="000000"/>
          <w:sz w:val="22"/>
          <w:szCs w:val="22"/>
        </w:rPr>
        <w:t xml:space="preserve"> conducted by wo</w:t>
      </w:r>
      <w:r w:rsidR="00B7329C">
        <w:rPr>
          <w:rFonts w:ascii="Arial" w:hAnsi="Arial" w:cs="Arial"/>
          <w:color w:val="000000"/>
          <w:sz w:val="22"/>
          <w:szCs w:val="22"/>
        </w:rPr>
        <w:t>rking group members themselves.</w:t>
      </w:r>
      <w:r w:rsidRPr="008D5607">
        <w:rPr>
          <w:rFonts w:ascii="Arial" w:hAnsi="Arial" w:cs="Arial"/>
          <w:color w:val="000000"/>
          <w:sz w:val="22"/>
          <w:szCs w:val="22"/>
        </w:rPr>
        <w:t xml:space="preserve"> Each thoracentesis working group member </w:t>
      </w:r>
      <w:r w:rsidR="00F822E6">
        <w:rPr>
          <w:rFonts w:ascii="Arial" w:hAnsi="Arial" w:cs="Arial"/>
          <w:color w:val="000000"/>
          <w:sz w:val="22"/>
          <w:szCs w:val="22"/>
        </w:rPr>
        <w:t xml:space="preserve">and two co-chairs </w:t>
      </w:r>
      <w:r w:rsidR="006A23AA">
        <w:rPr>
          <w:rFonts w:ascii="Arial" w:hAnsi="Arial" w:cs="Arial"/>
          <w:color w:val="000000"/>
          <w:sz w:val="22"/>
          <w:szCs w:val="22"/>
        </w:rPr>
        <w:t xml:space="preserve">independently </w:t>
      </w:r>
      <w:r w:rsidR="00F822E6">
        <w:rPr>
          <w:rFonts w:ascii="Arial" w:hAnsi="Arial" w:cs="Arial"/>
          <w:color w:val="000000"/>
          <w:sz w:val="22"/>
          <w:szCs w:val="22"/>
        </w:rPr>
        <w:t>performed</w:t>
      </w:r>
      <w:r w:rsidRPr="008D5607">
        <w:rPr>
          <w:rFonts w:ascii="Arial" w:hAnsi="Arial" w:cs="Arial"/>
          <w:color w:val="000000"/>
          <w:sz w:val="22"/>
          <w:szCs w:val="22"/>
        </w:rPr>
        <w:t xml:space="preserve"> literature search</w:t>
      </w:r>
      <w:r w:rsidR="00F822E6">
        <w:rPr>
          <w:rFonts w:ascii="Arial" w:hAnsi="Arial" w:cs="Arial"/>
          <w:color w:val="000000"/>
          <w:sz w:val="22"/>
          <w:szCs w:val="22"/>
        </w:rPr>
        <w:t>es</w:t>
      </w:r>
      <w:r w:rsidR="006A23AA">
        <w:rPr>
          <w:rFonts w:ascii="Arial" w:hAnsi="Arial" w:cs="Arial"/>
          <w:color w:val="000000"/>
          <w:sz w:val="22"/>
          <w:szCs w:val="22"/>
        </w:rPr>
        <w:t xml:space="preserve"> </w:t>
      </w:r>
      <w:r w:rsidR="002B4102">
        <w:rPr>
          <w:rFonts w:ascii="Arial" w:hAnsi="Arial" w:cs="Arial"/>
          <w:color w:val="000000"/>
          <w:sz w:val="22"/>
          <w:szCs w:val="22"/>
        </w:rPr>
        <w:t>to avoid selection bias. Potential</w:t>
      </w:r>
      <w:r w:rsidR="006A23AA">
        <w:rPr>
          <w:rFonts w:ascii="Arial" w:hAnsi="Arial" w:cs="Arial"/>
          <w:color w:val="000000"/>
          <w:sz w:val="22"/>
          <w:szCs w:val="22"/>
        </w:rPr>
        <w:t>ly</w:t>
      </w:r>
      <w:r w:rsidR="002B4102">
        <w:rPr>
          <w:rFonts w:ascii="Arial" w:hAnsi="Arial" w:cs="Arial"/>
          <w:color w:val="000000"/>
          <w:sz w:val="22"/>
          <w:szCs w:val="22"/>
        </w:rPr>
        <w:t xml:space="preserve"> relevant references were compiled, discussed during weekly conferences calls, and selected references were summarized in a shared, online data table.  </w:t>
      </w:r>
      <w:r w:rsidRPr="008D5607">
        <w:rPr>
          <w:rFonts w:ascii="Arial" w:hAnsi="Arial" w:cs="Arial"/>
          <w:color w:val="000000"/>
          <w:sz w:val="22"/>
          <w:szCs w:val="22"/>
        </w:rPr>
        <w:t xml:space="preserve">Based on </w:t>
      </w:r>
      <w:r w:rsidR="002B4102">
        <w:rPr>
          <w:rFonts w:ascii="Arial" w:hAnsi="Arial" w:cs="Arial"/>
          <w:color w:val="000000"/>
          <w:sz w:val="22"/>
          <w:szCs w:val="22"/>
        </w:rPr>
        <w:t xml:space="preserve">the references gathered during </w:t>
      </w:r>
      <w:r w:rsidRPr="008D5607">
        <w:rPr>
          <w:rFonts w:ascii="Arial" w:hAnsi="Arial" w:cs="Arial"/>
          <w:color w:val="000000"/>
          <w:sz w:val="22"/>
          <w:szCs w:val="22"/>
        </w:rPr>
        <w:t>the first track of literature se</w:t>
      </w:r>
      <w:r w:rsidR="002B4102">
        <w:rPr>
          <w:rFonts w:ascii="Arial" w:hAnsi="Arial" w:cs="Arial"/>
          <w:color w:val="000000"/>
          <w:sz w:val="22"/>
          <w:szCs w:val="22"/>
        </w:rPr>
        <w:t xml:space="preserve">arches, key clinical questions and draft </w:t>
      </w:r>
      <w:r w:rsidRPr="008D5607">
        <w:rPr>
          <w:rFonts w:ascii="Arial" w:hAnsi="Arial" w:cs="Arial"/>
          <w:color w:val="000000"/>
          <w:sz w:val="22"/>
          <w:szCs w:val="22"/>
        </w:rPr>
        <w:t>recommendations were prepared prior to conducting a systematic literature search.  </w:t>
      </w:r>
    </w:p>
    <w:p w14:paraId="20E02CC2" w14:textId="77777777" w:rsidR="002B4102" w:rsidRDefault="002B4102" w:rsidP="00030159">
      <w:pPr>
        <w:spacing w:line="480" w:lineRule="auto"/>
        <w:rPr>
          <w:rFonts w:ascii="Arial" w:hAnsi="Arial" w:cs="Arial"/>
          <w:color w:val="000000"/>
          <w:sz w:val="22"/>
          <w:szCs w:val="22"/>
        </w:rPr>
      </w:pPr>
    </w:p>
    <w:p w14:paraId="5155B6C3" w14:textId="702BE03B" w:rsidR="008D5607" w:rsidRPr="00007C10" w:rsidRDefault="00F85FB7" w:rsidP="00030159">
      <w:pPr>
        <w:spacing w:line="480" w:lineRule="auto"/>
        <w:rPr>
          <w:rFonts w:ascii="Arial" w:hAnsi="Arial" w:cs="Arial"/>
          <w:color w:val="000000"/>
          <w:sz w:val="22"/>
          <w:szCs w:val="22"/>
        </w:rPr>
      </w:pPr>
      <w:r>
        <w:rPr>
          <w:rFonts w:ascii="Arial" w:hAnsi="Arial" w:cs="Arial"/>
          <w:color w:val="000000"/>
          <w:sz w:val="22"/>
          <w:szCs w:val="22"/>
        </w:rPr>
        <w:t xml:space="preserve">The second phase </w:t>
      </w:r>
      <w:r w:rsidR="008D5607" w:rsidRPr="008D5607">
        <w:rPr>
          <w:rFonts w:ascii="Arial" w:hAnsi="Arial" w:cs="Arial"/>
          <w:color w:val="000000"/>
          <w:sz w:val="22"/>
          <w:szCs w:val="22"/>
        </w:rPr>
        <w:t xml:space="preserve">was a systematic literature search conducted </w:t>
      </w:r>
      <w:r w:rsidR="002B4102">
        <w:rPr>
          <w:rFonts w:ascii="Arial" w:hAnsi="Arial" w:cs="Arial"/>
          <w:color w:val="000000"/>
          <w:sz w:val="22"/>
          <w:szCs w:val="22"/>
        </w:rPr>
        <w:t xml:space="preserve">by a </w:t>
      </w:r>
      <w:r w:rsidR="008B5613">
        <w:rPr>
          <w:rFonts w:ascii="Arial" w:hAnsi="Arial" w:cs="Arial"/>
          <w:color w:val="000000"/>
          <w:sz w:val="22"/>
          <w:szCs w:val="22"/>
        </w:rPr>
        <w:t>medical</w:t>
      </w:r>
      <w:r w:rsidR="002B4102">
        <w:rPr>
          <w:rFonts w:ascii="Arial" w:hAnsi="Arial" w:cs="Arial"/>
          <w:color w:val="000000"/>
          <w:sz w:val="22"/>
          <w:szCs w:val="22"/>
        </w:rPr>
        <w:t xml:space="preserve"> librarian</w:t>
      </w:r>
      <w:r w:rsidR="008D5607" w:rsidRPr="008D5607">
        <w:rPr>
          <w:rFonts w:ascii="Arial" w:hAnsi="Arial" w:cs="Arial"/>
          <w:color w:val="000000"/>
          <w:sz w:val="22"/>
          <w:szCs w:val="22"/>
        </w:rPr>
        <w:t xml:space="preserve"> for each key clinical que</w:t>
      </w:r>
      <w:r w:rsidR="00B7329C">
        <w:rPr>
          <w:rFonts w:ascii="Arial" w:hAnsi="Arial" w:cs="Arial"/>
          <w:color w:val="000000"/>
          <w:sz w:val="22"/>
          <w:szCs w:val="22"/>
        </w:rPr>
        <w:t>stion and draft recommendation.</w:t>
      </w:r>
      <w:r w:rsidR="008D5607" w:rsidRPr="008D5607">
        <w:rPr>
          <w:rFonts w:ascii="Arial" w:hAnsi="Arial" w:cs="Arial"/>
          <w:color w:val="000000"/>
          <w:sz w:val="22"/>
          <w:szCs w:val="22"/>
        </w:rPr>
        <w:t> T</w:t>
      </w:r>
      <w:r w:rsidR="00007C10">
        <w:rPr>
          <w:rFonts w:ascii="Arial" w:hAnsi="Arial" w:cs="Arial"/>
          <w:color w:val="000000"/>
          <w:sz w:val="22"/>
          <w:szCs w:val="22"/>
        </w:rPr>
        <w:t xml:space="preserve">he Medline, </w:t>
      </w:r>
      <w:proofErr w:type="spellStart"/>
      <w:r w:rsidR="00007C10">
        <w:rPr>
          <w:rFonts w:ascii="Arial" w:hAnsi="Arial" w:cs="Arial"/>
          <w:color w:val="000000"/>
          <w:sz w:val="22"/>
          <w:szCs w:val="22"/>
        </w:rPr>
        <w:t>Embase</w:t>
      </w:r>
      <w:proofErr w:type="spellEnd"/>
      <w:r w:rsidR="00007C10">
        <w:rPr>
          <w:rFonts w:ascii="Arial" w:hAnsi="Arial" w:cs="Arial"/>
          <w:color w:val="000000"/>
          <w:sz w:val="22"/>
          <w:szCs w:val="22"/>
        </w:rPr>
        <w:t xml:space="preserve">, CINAHL, </w:t>
      </w:r>
      <w:r w:rsidR="00E439D7">
        <w:rPr>
          <w:rFonts w:ascii="Arial" w:hAnsi="Arial" w:cs="Arial"/>
          <w:color w:val="000000"/>
          <w:sz w:val="22"/>
          <w:szCs w:val="22"/>
        </w:rPr>
        <w:t xml:space="preserve">and </w:t>
      </w:r>
      <w:r w:rsidR="008D5607" w:rsidRPr="008D5607">
        <w:rPr>
          <w:rFonts w:ascii="Arial" w:hAnsi="Arial" w:cs="Arial"/>
          <w:color w:val="000000"/>
          <w:sz w:val="22"/>
          <w:szCs w:val="22"/>
        </w:rPr>
        <w:t>Cochrane medical databases were searched from</w:t>
      </w:r>
      <w:r w:rsidR="00057243">
        <w:rPr>
          <w:rFonts w:ascii="Arial" w:hAnsi="Arial" w:cs="Arial"/>
          <w:color w:val="000000"/>
          <w:sz w:val="22"/>
          <w:szCs w:val="22"/>
        </w:rPr>
        <w:t xml:space="preserve"> 1975 to September 2015 </w:t>
      </w:r>
      <w:r w:rsidR="008D5607" w:rsidRPr="008D5607">
        <w:rPr>
          <w:rFonts w:ascii="Arial" w:hAnsi="Arial" w:cs="Arial"/>
          <w:color w:val="000000"/>
          <w:sz w:val="22"/>
          <w:szCs w:val="22"/>
        </w:rPr>
        <w:t>initially</w:t>
      </w:r>
      <w:r w:rsidR="00057243">
        <w:rPr>
          <w:rFonts w:ascii="Arial" w:hAnsi="Arial" w:cs="Arial"/>
          <w:color w:val="000000"/>
          <w:sz w:val="22"/>
          <w:szCs w:val="22"/>
        </w:rPr>
        <w:t>.</w:t>
      </w:r>
      <w:r w:rsidR="00B7329C">
        <w:rPr>
          <w:rFonts w:ascii="Arial" w:hAnsi="Arial" w:cs="Arial"/>
          <w:color w:val="000000"/>
          <w:sz w:val="22"/>
          <w:szCs w:val="22"/>
        </w:rPr>
        <w:t xml:space="preserve"> </w:t>
      </w:r>
      <w:r w:rsidR="00B7329C" w:rsidRPr="00B7329C">
        <w:rPr>
          <w:rFonts w:ascii="Arial" w:hAnsi="Arial" w:cs="Arial"/>
          <w:color w:val="000000"/>
          <w:sz w:val="22"/>
          <w:szCs w:val="22"/>
        </w:rPr>
        <w:t>Updated searches were conducted in November 2016</w:t>
      </w:r>
      <w:r w:rsidR="00B7329C">
        <w:rPr>
          <w:rFonts w:ascii="Arial" w:hAnsi="Arial" w:cs="Arial"/>
          <w:color w:val="000000"/>
          <w:sz w:val="22"/>
          <w:szCs w:val="22"/>
        </w:rPr>
        <w:t xml:space="preserve"> and in August 2017.</w:t>
      </w:r>
      <w:r w:rsidR="00211E68">
        <w:rPr>
          <w:rFonts w:ascii="Arial" w:hAnsi="Arial" w:cs="Arial"/>
          <w:color w:val="000000"/>
          <w:sz w:val="22"/>
          <w:szCs w:val="22"/>
        </w:rPr>
        <w:t xml:space="preserve"> Search limiters were English language and adults only.</w:t>
      </w:r>
      <w:r w:rsidR="00057243">
        <w:rPr>
          <w:rFonts w:ascii="Arial" w:hAnsi="Arial" w:cs="Arial"/>
          <w:color w:val="000000"/>
          <w:sz w:val="22"/>
          <w:szCs w:val="22"/>
        </w:rPr>
        <w:t xml:space="preserve"> </w:t>
      </w:r>
      <w:r w:rsidR="00211E68">
        <w:rPr>
          <w:rFonts w:ascii="Arial" w:hAnsi="Arial" w:cs="Arial"/>
          <w:color w:val="000000"/>
          <w:sz w:val="22"/>
          <w:szCs w:val="22"/>
        </w:rPr>
        <w:t>Search terms</w:t>
      </w:r>
      <w:r w:rsidR="008D5607" w:rsidRPr="008D5607">
        <w:rPr>
          <w:rFonts w:ascii="Arial" w:hAnsi="Arial" w:cs="Arial"/>
          <w:color w:val="000000"/>
          <w:sz w:val="22"/>
          <w:szCs w:val="22"/>
        </w:rPr>
        <w:t xml:space="preserve"> and </w:t>
      </w:r>
      <w:r w:rsidR="006A4E28">
        <w:rPr>
          <w:rFonts w:ascii="Arial" w:hAnsi="Arial" w:cs="Arial"/>
          <w:color w:val="000000"/>
          <w:sz w:val="22"/>
          <w:szCs w:val="22"/>
        </w:rPr>
        <w:t xml:space="preserve">specific </w:t>
      </w:r>
      <w:r w:rsidR="00007C10">
        <w:rPr>
          <w:rFonts w:ascii="Arial" w:hAnsi="Arial" w:cs="Arial"/>
          <w:color w:val="000000"/>
          <w:sz w:val="22"/>
          <w:szCs w:val="22"/>
        </w:rPr>
        <w:t>search strings</w:t>
      </w:r>
      <w:r w:rsidR="006A4E28">
        <w:rPr>
          <w:rFonts w:ascii="Arial" w:hAnsi="Arial" w:cs="Arial"/>
          <w:color w:val="000000"/>
          <w:sz w:val="22"/>
          <w:szCs w:val="22"/>
        </w:rPr>
        <w:t xml:space="preserve"> </w:t>
      </w:r>
      <w:r w:rsidR="00E439D7">
        <w:rPr>
          <w:rFonts w:ascii="Arial" w:hAnsi="Arial" w:cs="Arial"/>
          <w:color w:val="000000"/>
          <w:sz w:val="22"/>
          <w:szCs w:val="22"/>
        </w:rPr>
        <w:t xml:space="preserve">for each </w:t>
      </w:r>
      <w:r w:rsidR="006A4E28">
        <w:rPr>
          <w:rFonts w:ascii="Arial" w:hAnsi="Arial" w:cs="Arial"/>
          <w:color w:val="000000"/>
          <w:sz w:val="22"/>
          <w:szCs w:val="22"/>
        </w:rPr>
        <w:t>draft recommendation</w:t>
      </w:r>
      <w:r w:rsidR="00007C10">
        <w:rPr>
          <w:rFonts w:ascii="Arial" w:hAnsi="Arial" w:cs="Arial"/>
          <w:color w:val="000000"/>
          <w:sz w:val="22"/>
          <w:szCs w:val="22"/>
        </w:rPr>
        <w:t xml:space="preserve"> are</w:t>
      </w:r>
      <w:r w:rsidR="006A4E28">
        <w:rPr>
          <w:rFonts w:ascii="Arial" w:hAnsi="Arial" w:cs="Arial"/>
          <w:color w:val="000000"/>
          <w:sz w:val="22"/>
          <w:szCs w:val="22"/>
        </w:rPr>
        <w:t xml:space="preserve"> shown</w:t>
      </w:r>
      <w:r w:rsidR="008D5607" w:rsidRPr="008D5607">
        <w:rPr>
          <w:rFonts w:ascii="Arial" w:hAnsi="Arial" w:cs="Arial"/>
          <w:color w:val="000000"/>
          <w:sz w:val="22"/>
          <w:szCs w:val="22"/>
        </w:rPr>
        <w:t xml:space="preserve"> in</w:t>
      </w:r>
      <w:r w:rsidR="00007C10">
        <w:rPr>
          <w:rFonts w:ascii="Arial" w:hAnsi="Arial" w:cs="Arial"/>
          <w:color w:val="000000"/>
          <w:sz w:val="22"/>
          <w:szCs w:val="22"/>
        </w:rPr>
        <w:t xml:space="preserve"> Ap</w:t>
      </w:r>
      <w:r w:rsidR="00B7329C">
        <w:rPr>
          <w:rFonts w:ascii="Arial" w:hAnsi="Arial" w:cs="Arial"/>
          <w:color w:val="000000"/>
          <w:sz w:val="22"/>
          <w:szCs w:val="22"/>
        </w:rPr>
        <w:t>pendix 3.</w:t>
      </w:r>
      <w:r w:rsidR="00007C10">
        <w:rPr>
          <w:rFonts w:ascii="Arial" w:hAnsi="Arial" w:cs="Arial"/>
          <w:color w:val="000000"/>
          <w:sz w:val="22"/>
          <w:szCs w:val="22"/>
        </w:rPr>
        <w:t xml:space="preserve"> </w:t>
      </w:r>
      <w:r w:rsidR="008D5607" w:rsidRPr="008D5607">
        <w:rPr>
          <w:rFonts w:ascii="Arial" w:hAnsi="Arial" w:cs="Arial"/>
          <w:color w:val="000000"/>
          <w:sz w:val="22"/>
          <w:szCs w:val="22"/>
        </w:rPr>
        <w:t xml:space="preserve">Articles identified by the comprehensive </w:t>
      </w:r>
      <w:r w:rsidR="00E439D7">
        <w:rPr>
          <w:rFonts w:ascii="Arial" w:hAnsi="Arial" w:cs="Arial"/>
          <w:color w:val="000000"/>
          <w:sz w:val="22"/>
          <w:szCs w:val="22"/>
        </w:rPr>
        <w:t xml:space="preserve">literature </w:t>
      </w:r>
      <w:r w:rsidR="008D5607" w:rsidRPr="008D5607">
        <w:rPr>
          <w:rFonts w:ascii="Arial" w:hAnsi="Arial" w:cs="Arial"/>
          <w:color w:val="000000"/>
          <w:sz w:val="22"/>
          <w:szCs w:val="22"/>
        </w:rPr>
        <w:t>search were systematically scre</w:t>
      </w:r>
      <w:r w:rsidR="00B7329C">
        <w:rPr>
          <w:rFonts w:ascii="Arial" w:hAnsi="Arial" w:cs="Arial"/>
          <w:color w:val="000000"/>
          <w:sz w:val="22"/>
          <w:szCs w:val="22"/>
        </w:rPr>
        <w:t xml:space="preserve">ened and selected. </w:t>
      </w:r>
      <w:r w:rsidR="00C27E1A">
        <w:rPr>
          <w:rFonts w:ascii="Arial" w:hAnsi="Arial" w:cs="Arial"/>
          <w:color w:val="000000"/>
          <w:sz w:val="22"/>
          <w:szCs w:val="22"/>
        </w:rPr>
        <w:t xml:space="preserve">All article </w:t>
      </w:r>
      <w:r w:rsidR="002B7061">
        <w:rPr>
          <w:rFonts w:ascii="Arial" w:hAnsi="Arial" w:cs="Arial"/>
          <w:color w:val="000000"/>
          <w:sz w:val="22"/>
          <w:szCs w:val="22"/>
        </w:rPr>
        <w:t>abstracts</w:t>
      </w:r>
      <w:r w:rsidR="008D5607" w:rsidRPr="008D5607">
        <w:rPr>
          <w:rFonts w:ascii="Arial" w:hAnsi="Arial" w:cs="Arial"/>
          <w:color w:val="000000"/>
          <w:sz w:val="22"/>
          <w:szCs w:val="22"/>
        </w:rPr>
        <w:t xml:space="preserve"> were first screened </w:t>
      </w:r>
      <w:r w:rsidR="00C27E1A">
        <w:rPr>
          <w:rFonts w:ascii="Arial" w:hAnsi="Arial" w:cs="Arial"/>
          <w:color w:val="000000"/>
          <w:sz w:val="22"/>
          <w:szCs w:val="22"/>
        </w:rPr>
        <w:t xml:space="preserve">for relevance </w:t>
      </w:r>
      <w:r w:rsidR="008D5607" w:rsidRPr="008D5607">
        <w:rPr>
          <w:rFonts w:ascii="Arial" w:hAnsi="Arial" w:cs="Arial"/>
          <w:color w:val="000000"/>
          <w:sz w:val="22"/>
          <w:szCs w:val="22"/>
        </w:rPr>
        <w:t>by at least two</w:t>
      </w:r>
      <w:r w:rsidR="00B7329C">
        <w:rPr>
          <w:rFonts w:ascii="Arial" w:hAnsi="Arial" w:cs="Arial"/>
          <w:color w:val="000000"/>
          <w:sz w:val="22"/>
          <w:szCs w:val="22"/>
        </w:rPr>
        <w:t xml:space="preserve"> members of the working group. </w:t>
      </w:r>
      <w:r w:rsidR="008D5607" w:rsidRPr="008D5607">
        <w:rPr>
          <w:rFonts w:ascii="Arial" w:hAnsi="Arial" w:cs="Arial"/>
          <w:color w:val="000000"/>
          <w:sz w:val="22"/>
          <w:szCs w:val="22"/>
        </w:rPr>
        <w:t>Full-text versions of screened articles were reviewed</w:t>
      </w:r>
      <w:r w:rsidR="006A1EFB">
        <w:rPr>
          <w:rFonts w:ascii="Arial" w:hAnsi="Arial" w:cs="Arial"/>
          <w:color w:val="000000"/>
          <w:sz w:val="22"/>
          <w:szCs w:val="22"/>
        </w:rPr>
        <w:t>, and a</w:t>
      </w:r>
      <w:r w:rsidR="00F31F97">
        <w:rPr>
          <w:rFonts w:ascii="Arial" w:hAnsi="Arial" w:cs="Arial"/>
          <w:color w:val="000000"/>
          <w:sz w:val="22"/>
          <w:szCs w:val="22"/>
        </w:rPr>
        <w:t xml:space="preserve">rticles </w:t>
      </w:r>
      <w:r w:rsidR="00523B48">
        <w:rPr>
          <w:rFonts w:ascii="Arial" w:hAnsi="Arial" w:cs="Arial"/>
          <w:color w:val="000000"/>
          <w:sz w:val="22"/>
          <w:szCs w:val="22"/>
        </w:rPr>
        <w:t>on the</w:t>
      </w:r>
      <w:r w:rsidR="006A1EFB">
        <w:rPr>
          <w:rFonts w:ascii="Arial" w:hAnsi="Arial" w:cs="Arial"/>
          <w:color w:val="000000"/>
          <w:sz w:val="22"/>
          <w:szCs w:val="22"/>
        </w:rPr>
        <w:t xml:space="preserve"> use of ultrasound to guide thoracentesis </w:t>
      </w:r>
      <w:r w:rsidR="00F31F97">
        <w:rPr>
          <w:rFonts w:ascii="Arial" w:hAnsi="Arial" w:cs="Arial"/>
          <w:color w:val="000000"/>
          <w:sz w:val="22"/>
          <w:szCs w:val="22"/>
        </w:rPr>
        <w:t>were</w:t>
      </w:r>
      <w:r w:rsidR="008D5607" w:rsidRPr="008D5607">
        <w:rPr>
          <w:rFonts w:ascii="Arial" w:hAnsi="Arial" w:cs="Arial"/>
          <w:color w:val="000000"/>
          <w:sz w:val="22"/>
          <w:szCs w:val="22"/>
        </w:rPr>
        <w:t xml:space="preserve"> selected. </w:t>
      </w:r>
      <w:r w:rsidR="006A1EFB">
        <w:rPr>
          <w:rFonts w:ascii="Arial" w:hAnsi="Arial" w:cs="Arial"/>
          <w:color w:val="000000"/>
          <w:sz w:val="22"/>
          <w:szCs w:val="22"/>
        </w:rPr>
        <w:t xml:space="preserve">Articles that discussed thoracentesis without ultrasound guidance </w:t>
      </w:r>
      <w:r w:rsidR="00B7329C">
        <w:rPr>
          <w:rFonts w:ascii="Arial" w:hAnsi="Arial" w:cs="Arial"/>
          <w:color w:val="000000"/>
          <w:sz w:val="22"/>
          <w:szCs w:val="22"/>
        </w:rPr>
        <w:t xml:space="preserve">were excluded. </w:t>
      </w:r>
      <w:r w:rsidR="006A1EFB">
        <w:rPr>
          <w:rFonts w:ascii="Arial" w:hAnsi="Arial" w:cs="Arial"/>
          <w:color w:val="000000"/>
          <w:sz w:val="22"/>
          <w:szCs w:val="22"/>
        </w:rPr>
        <w:t>Additionally, t</w:t>
      </w:r>
      <w:r w:rsidR="008D5607" w:rsidRPr="008D5607">
        <w:rPr>
          <w:rFonts w:ascii="Arial" w:hAnsi="Arial" w:cs="Arial"/>
          <w:color w:val="000000"/>
          <w:sz w:val="22"/>
          <w:szCs w:val="22"/>
        </w:rPr>
        <w:t>he following article types were excluded: non-English language, non-human, age&lt;18, meet</w:t>
      </w:r>
      <w:r w:rsidR="006A4E28">
        <w:rPr>
          <w:rFonts w:ascii="Arial" w:hAnsi="Arial" w:cs="Arial"/>
          <w:color w:val="000000"/>
          <w:sz w:val="22"/>
          <w:szCs w:val="22"/>
        </w:rPr>
        <w:t>ing abstracts, meeting posters</w:t>
      </w:r>
      <w:r w:rsidR="00B7329C">
        <w:rPr>
          <w:rFonts w:ascii="Arial" w:hAnsi="Arial" w:cs="Arial"/>
          <w:color w:val="000000"/>
          <w:sz w:val="22"/>
          <w:szCs w:val="22"/>
        </w:rPr>
        <w:t>, letters, and editorials.</w:t>
      </w:r>
      <w:r w:rsidR="008D5607" w:rsidRPr="008D5607">
        <w:rPr>
          <w:rFonts w:ascii="Arial" w:hAnsi="Arial" w:cs="Arial"/>
          <w:color w:val="000000"/>
          <w:sz w:val="22"/>
          <w:szCs w:val="22"/>
        </w:rPr>
        <w:t xml:space="preserve"> All </w:t>
      </w:r>
      <w:r w:rsidR="006A4E28">
        <w:rPr>
          <w:rFonts w:ascii="Arial" w:hAnsi="Arial" w:cs="Arial"/>
          <w:color w:val="000000"/>
          <w:sz w:val="22"/>
          <w:szCs w:val="22"/>
        </w:rPr>
        <w:t xml:space="preserve">systematic reviews, </w:t>
      </w:r>
      <w:r w:rsidR="008D5607" w:rsidRPr="008D5607">
        <w:rPr>
          <w:rFonts w:ascii="Arial" w:hAnsi="Arial" w:cs="Arial"/>
          <w:color w:val="000000"/>
          <w:sz w:val="22"/>
          <w:szCs w:val="22"/>
        </w:rPr>
        <w:t>meta-analy</w:t>
      </w:r>
      <w:r w:rsidR="006A4E28">
        <w:rPr>
          <w:rFonts w:ascii="Arial" w:hAnsi="Arial" w:cs="Arial"/>
          <w:color w:val="000000"/>
          <w:sz w:val="22"/>
          <w:szCs w:val="22"/>
        </w:rPr>
        <w:t>ses, randomized control</w:t>
      </w:r>
      <w:r w:rsidR="00A448A2">
        <w:rPr>
          <w:rFonts w:ascii="Arial" w:hAnsi="Arial" w:cs="Arial"/>
          <w:color w:val="000000"/>
          <w:sz w:val="22"/>
          <w:szCs w:val="22"/>
        </w:rPr>
        <w:t>led</w:t>
      </w:r>
      <w:r w:rsidR="006A4E28">
        <w:rPr>
          <w:rFonts w:ascii="Arial" w:hAnsi="Arial" w:cs="Arial"/>
          <w:color w:val="000000"/>
          <w:sz w:val="22"/>
          <w:szCs w:val="22"/>
        </w:rPr>
        <w:t xml:space="preserve"> trials, and</w:t>
      </w:r>
      <w:r w:rsidR="008D5607" w:rsidRPr="008D5607">
        <w:rPr>
          <w:rFonts w:ascii="Arial" w:hAnsi="Arial" w:cs="Arial"/>
          <w:color w:val="000000"/>
          <w:sz w:val="22"/>
          <w:szCs w:val="22"/>
        </w:rPr>
        <w:t xml:space="preserve"> observational studies of ultrasound-guided thoracentesis were </w:t>
      </w:r>
      <w:r w:rsidR="006A4E28">
        <w:rPr>
          <w:rFonts w:ascii="Arial" w:hAnsi="Arial" w:cs="Arial"/>
          <w:color w:val="000000"/>
          <w:sz w:val="22"/>
          <w:szCs w:val="22"/>
        </w:rPr>
        <w:t>screened and selected</w:t>
      </w:r>
      <w:r w:rsidR="00B7329C">
        <w:rPr>
          <w:rFonts w:ascii="Arial" w:hAnsi="Arial" w:cs="Arial"/>
          <w:color w:val="000000"/>
          <w:sz w:val="22"/>
          <w:szCs w:val="22"/>
        </w:rPr>
        <w:t xml:space="preserve">. </w:t>
      </w:r>
      <w:r w:rsidR="008D5607" w:rsidRPr="008D5607">
        <w:rPr>
          <w:rFonts w:ascii="Arial" w:hAnsi="Arial" w:cs="Arial"/>
          <w:color w:val="000000"/>
          <w:sz w:val="22"/>
          <w:szCs w:val="22"/>
        </w:rPr>
        <w:t>References</w:t>
      </w:r>
      <w:r w:rsidR="006A4E28">
        <w:rPr>
          <w:rFonts w:ascii="Arial" w:hAnsi="Arial" w:cs="Arial"/>
          <w:color w:val="000000"/>
          <w:sz w:val="22"/>
          <w:szCs w:val="22"/>
        </w:rPr>
        <w:t xml:space="preserve"> listed</w:t>
      </w:r>
      <w:r w:rsidR="008D5607" w:rsidRPr="008D5607">
        <w:rPr>
          <w:rFonts w:ascii="Arial" w:hAnsi="Arial" w:cs="Arial"/>
          <w:color w:val="000000"/>
          <w:sz w:val="22"/>
          <w:szCs w:val="22"/>
        </w:rPr>
        <w:t xml:space="preserve"> in narrative review articles were reviewed to </w:t>
      </w:r>
      <w:r w:rsidR="008D5607" w:rsidRPr="008D5607">
        <w:rPr>
          <w:rFonts w:ascii="Arial" w:hAnsi="Arial" w:cs="Arial"/>
          <w:color w:val="000000"/>
          <w:sz w:val="22"/>
          <w:szCs w:val="22"/>
        </w:rPr>
        <w:lastRenderedPageBreak/>
        <w:t xml:space="preserve">ensure no important studies were </w:t>
      </w:r>
      <w:r w:rsidR="003D5CF7">
        <w:rPr>
          <w:rFonts w:ascii="Arial" w:hAnsi="Arial" w:cs="Arial"/>
          <w:color w:val="000000"/>
          <w:sz w:val="22"/>
          <w:szCs w:val="22"/>
        </w:rPr>
        <w:t>miss</w:t>
      </w:r>
      <w:r w:rsidR="003D5CF7" w:rsidRPr="008D5607">
        <w:rPr>
          <w:rFonts w:ascii="Arial" w:hAnsi="Arial" w:cs="Arial"/>
          <w:color w:val="000000"/>
          <w:sz w:val="22"/>
          <w:szCs w:val="22"/>
        </w:rPr>
        <w:t>ed</w:t>
      </w:r>
      <w:r w:rsidR="00B7329C">
        <w:rPr>
          <w:rFonts w:ascii="Arial" w:hAnsi="Arial" w:cs="Arial"/>
          <w:color w:val="000000"/>
          <w:sz w:val="22"/>
          <w:szCs w:val="22"/>
        </w:rPr>
        <w:t xml:space="preserve">. </w:t>
      </w:r>
      <w:r w:rsidR="008D5607" w:rsidRPr="008D5607">
        <w:rPr>
          <w:rFonts w:ascii="Arial" w:hAnsi="Arial" w:cs="Arial"/>
          <w:color w:val="000000"/>
          <w:sz w:val="22"/>
          <w:szCs w:val="22"/>
        </w:rPr>
        <w:t xml:space="preserve">Any disagreements </w:t>
      </w:r>
      <w:r w:rsidR="006A4E28">
        <w:rPr>
          <w:rFonts w:ascii="Arial" w:hAnsi="Arial" w:cs="Arial"/>
          <w:color w:val="000000"/>
          <w:sz w:val="22"/>
          <w:szCs w:val="22"/>
        </w:rPr>
        <w:t xml:space="preserve">about article selection </w:t>
      </w:r>
      <w:r w:rsidR="008D5607" w:rsidRPr="008D5607">
        <w:rPr>
          <w:rFonts w:ascii="Arial" w:hAnsi="Arial" w:cs="Arial"/>
          <w:color w:val="000000"/>
          <w:sz w:val="22"/>
          <w:szCs w:val="22"/>
        </w:rPr>
        <w:t>were discussed during weekly co</w:t>
      </w:r>
      <w:r w:rsidR="006A4E28">
        <w:rPr>
          <w:rFonts w:ascii="Arial" w:hAnsi="Arial" w:cs="Arial"/>
          <w:color w:val="000000"/>
          <w:sz w:val="22"/>
          <w:szCs w:val="22"/>
        </w:rPr>
        <w:t>nference calls and final</w:t>
      </w:r>
      <w:r w:rsidR="008D5607" w:rsidRPr="008D5607">
        <w:rPr>
          <w:rFonts w:ascii="Arial" w:hAnsi="Arial" w:cs="Arial"/>
          <w:color w:val="000000"/>
          <w:sz w:val="22"/>
          <w:szCs w:val="22"/>
        </w:rPr>
        <w:t xml:space="preserve"> selection was based on </w:t>
      </w:r>
      <w:r w:rsidR="003D5CF7">
        <w:rPr>
          <w:rFonts w:ascii="Arial" w:hAnsi="Arial" w:cs="Arial"/>
          <w:color w:val="000000"/>
          <w:sz w:val="22"/>
          <w:szCs w:val="22"/>
        </w:rPr>
        <w:t xml:space="preserve">consensus of the thoracentesis </w:t>
      </w:r>
      <w:r w:rsidR="008D5607" w:rsidRPr="008D5607">
        <w:rPr>
          <w:rFonts w:ascii="Arial" w:hAnsi="Arial" w:cs="Arial"/>
          <w:color w:val="000000"/>
          <w:sz w:val="22"/>
          <w:szCs w:val="22"/>
        </w:rPr>
        <w:t xml:space="preserve">working group. Findings from the selected articles were </w:t>
      </w:r>
      <w:r w:rsidR="00B7329C">
        <w:rPr>
          <w:rFonts w:ascii="Arial" w:hAnsi="Arial" w:cs="Arial"/>
          <w:color w:val="000000"/>
          <w:sz w:val="22"/>
          <w:szCs w:val="22"/>
        </w:rPr>
        <w:t>abstracted into a data table.</w:t>
      </w:r>
      <w:r w:rsidR="006A4E28">
        <w:rPr>
          <w:rFonts w:ascii="Arial" w:hAnsi="Arial" w:cs="Arial"/>
          <w:color w:val="000000"/>
          <w:sz w:val="22"/>
          <w:szCs w:val="22"/>
        </w:rPr>
        <w:t> The s</w:t>
      </w:r>
      <w:r w:rsidR="008D5607" w:rsidRPr="008D5607">
        <w:rPr>
          <w:rFonts w:ascii="Arial" w:hAnsi="Arial" w:cs="Arial"/>
          <w:color w:val="000000"/>
          <w:sz w:val="22"/>
          <w:szCs w:val="22"/>
        </w:rPr>
        <w:t>elected literature was incorporated into the draft recommendation</w:t>
      </w:r>
      <w:r w:rsidR="006A4E28">
        <w:rPr>
          <w:rFonts w:ascii="Arial" w:hAnsi="Arial" w:cs="Arial"/>
          <w:color w:val="000000"/>
          <w:sz w:val="22"/>
          <w:szCs w:val="22"/>
        </w:rPr>
        <w:t xml:space="preserve">s </w:t>
      </w:r>
      <w:r w:rsidR="003D5CF7">
        <w:rPr>
          <w:rFonts w:ascii="Arial" w:hAnsi="Arial" w:cs="Arial"/>
          <w:color w:val="000000"/>
          <w:sz w:val="22"/>
          <w:szCs w:val="22"/>
        </w:rPr>
        <w:t xml:space="preserve">and rationales </w:t>
      </w:r>
      <w:r w:rsidR="006A4E28">
        <w:rPr>
          <w:rFonts w:ascii="Arial" w:hAnsi="Arial" w:cs="Arial"/>
          <w:color w:val="000000"/>
          <w:sz w:val="22"/>
          <w:szCs w:val="22"/>
        </w:rPr>
        <w:t>during a series of weekly conference calls</w:t>
      </w:r>
      <w:r w:rsidR="00B7329C">
        <w:rPr>
          <w:rFonts w:ascii="Arial" w:hAnsi="Arial" w:cs="Arial"/>
          <w:color w:val="000000"/>
          <w:sz w:val="22"/>
          <w:szCs w:val="22"/>
        </w:rPr>
        <w:t>.</w:t>
      </w:r>
      <w:r w:rsidR="008D5607" w:rsidRPr="008D5607">
        <w:rPr>
          <w:rFonts w:ascii="Arial" w:hAnsi="Arial" w:cs="Arial"/>
          <w:color w:val="000000"/>
          <w:sz w:val="22"/>
          <w:szCs w:val="22"/>
        </w:rPr>
        <w:t xml:space="preserve"> All </w:t>
      </w:r>
      <w:r w:rsidR="003D5CF7">
        <w:rPr>
          <w:rFonts w:ascii="Arial" w:hAnsi="Arial" w:cs="Arial"/>
          <w:color w:val="000000"/>
          <w:sz w:val="22"/>
          <w:szCs w:val="22"/>
        </w:rPr>
        <w:t>full text articles</w:t>
      </w:r>
      <w:r w:rsidR="008D5607" w:rsidRPr="008D5607">
        <w:rPr>
          <w:rFonts w:ascii="Arial" w:hAnsi="Arial" w:cs="Arial"/>
          <w:color w:val="000000"/>
          <w:sz w:val="22"/>
          <w:szCs w:val="22"/>
        </w:rPr>
        <w:t xml:space="preserve"> w</w:t>
      </w:r>
      <w:r w:rsidR="003D5CF7">
        <w:rPr>
          <w:rFonts w:ascii="Arial" w:hAnsi="Arial" w:cs="Arial"/>
          <w:color w:val="000000"/>
          <w:sz w:val="22"/>
          <w:szCs w:val="22"/>
        </w:rPr>
        <w:t xml:space="preserve">ere </w:t>
      </w:r>
      <w:r w:rsidR="008D5607" w:rsidRPr="008D5607">
        <w:rPr>
          <w:rFonts w:ascii="Arial" w:hAnsi="Arial" w:cs="Arial"/>
          <w:color w:val="000000"/>
          <w:sz w:val="22"/>
          <w:szCs w:val="22"/>
        </w:rPr>
        <w:t>shared electronically among</w:t>
      </w:r>
      <w:r w:rsidR="003D5CF7">
        <w:rPr>
          <w:rFonts w:ascii="Arial" w:hAnsi="Arial" w:cs="Arial"/>
          <w:color w:val="000000"/>
          <w:sz w:val="22"/>
          <w:szCs w:val="22"/>
        </w:rPr>
        <w:t>st the</w:t>
      </w:r>
      <w:r w:rsidR="008D5607" w:rsidRPr="008D5607">
        <w:rPr>
          <w:rFonts w:ascii="Arial" w:hAnsi="Arial" w:cs="Arial"/>
          <w:color w:val="000000"/>
          <w:sz w:val="22"/>
          <w:szCs w:val="22"/>
        </w:rPr>
        <w:t xml:space="preserve"> working group members. </w:t>
      </w:r>
      <w:r w:rsidR="00B7329C">
        <w:rPr>
          <w:rFonts w:ascii="Arial" w:hAnsi="Arial" w:cs="Arial"/>
          <w:color w:val="000000"/>
          <w:sz w:val="22"/>
          <w:szCs w:val="22"/>
        </w:rPr>
        <w:t>See Appendix 3, Figure 1.</w:t>
      </w:r>
    </w:p>
    <w:p w14:paraId="60513925" w14:textId="77777777" w:rsidR="008D5607" w:rsidRPr="008D5607" w:rsidRDefault="008D5607" w:rsidP="00030159">
      <w:pPr>
        <w:spacing w:line="480" w:lineRule="auto"/>
        <w:rPr>
          <w:rFonts w:ascii="Times" w:eastAsia="Times New Roman" w:hAnsi="Times" w:cs="Times New Roman"/>
          <w:sz w:val="20"/>
          <w:szCs w:val="20"/>
        </w:rPr>
      </w:pPr>
      <w:bookmarkStart w:id="0" w:name="_GoBack"/>
      <w:bookmarkEnd w:id="0"/>
    </w:p>
    <w:p w14:paraId="270A2645" w14:textId="77777777" w:rsidR="008D5607" w:rsidRPr="008D5607" w:rsidRDefault="008D5607" w:rsidP="00030159">
      <w:pPr>
        <w:spacing w:line="480" w:lineRule="auto"/>
        <w:rPr>
          <w:rFonts w:ascii="Times" w:hAnsi="Times" w:cs="Times New Roman"/>
          <w:sz w:val="20"/>
          <w:szCs w:val="20"/>
        </w:rPr>
      </w:pPr>
      <w:r w:rsidRPr="008D5607">
        <w:rPr>
          <w:rFonts w:ascii="Arial" w:hAnsi="Arial" w:cs="Arial"/>
          <w:color w:val="000000"/>
          <w:sz w:val="22"/>
          <w:szCs w:val="22"/>
          <w:u w:val="single"/>
        </w:rPr>
        <w:t>Development of Clinical Recommendations and Consensus</w:t>
      </w:r>
    </w:p>
    <w:p w14:paraId="07C10FA6" w14:textId="6FC12006" w:rsidR="000C1A63" w:rsidRPr="00197708" w:rsidRDefault="008D5607" w:rsidP="00030159">
      <w:pPr>
        <w:spacing w:line="480" w:lineRule="auto"/>
        <w:rPr>
          <w:rFonts w:ascii="Arial" w:hAnsi="Arial" w:cs="Arial"/>
          <w:color w:val="000000"/>
          <w:sz w:val="22"/>
          <w:szCs w:val="22"/>
        </w:rPr>
      </w:pPr>
      <w:r w:rsidRPr="008D5607">
        <w:rPr>
          <w:rFonts w:ascii="Arial" w:hAnsi="Arial" w:cs="Arial"/>
          <w:color w:val="000000"/>
          <w:sz w:val="22"/>
          <w:szCs w:val="22"/>
        </w:rPr>
        <w:t>These</w:t>
      </w:r>
      <w:r w:rsidR="00465C5B">
        <w:rPr>
          <w:rFonts w:ascii="Arial" w:hAnsi="Arial" w:cs="Arial"/>
          <w:color w:val="000000"/>
          <w:sz w:val="22"/>
          <w:szCs w:val="22"/>
        </w:rPr>
        <w:t xml:space="preserve"> </w:t>
      </w:r>
      <w:r w:rsidRPr="008D5607">
        <w:rPr>
          <w:rFonts w:ascii="Arial" w:hAnsi="Arial" w:cs="Arial"/>
          <w:color w:val="000000"/>
          <w:sz w:val="22"/>
          <w:szCs w:val="22"/>
        </w:rPr>
        <w:t xml:space="preserve">recommendations were developed using the </w:t>
      </w:r>
      <w:r w:rsidR="006328FE">
        <w:rPr>
          <w:rFonts w:ascii="Arial" w:hAnsi="Arial" w:cs="Arial"/>
          <w:color w:val="000000"/>
          <w:sz w:val="22"/>
          <w:szCs w:val="22"/>
        </w:rPr>
        <w:t>RAND Appropriateness Method</w:t>
      </w:r>
      <w:r w:rsidR="006328FE" w:rsidRPr="006328FE">
        <w:rPr>
          <w:rFonts w:ascii="Arial" w:hAnsi="Arial" w:cs="Arial"/>
          <w:color w:val="000000"/>
          <w:sz w:val="22"/>
          <w:szCs w:val="22"/>
        </w:rPr>
        <w:t xml:space="preserve"> that</w:t>
      </w:r>
      <w:r w:rsidR="006328FE">
        <w:rPr>
          <w:rFonts w:ascii="Arial" w:hAnsi="Arial" w:cs="Arial"/>
          <w:color w:val="000000"/>
          <w:sz w:val="22"/>
          <w:szCs w:val="22"/>
        </w:rPr>
        <w:t xml:space="preserve"> </w:t>
      </w:r>
      <w:r w:rsidR="006328FE" w:rsidRPr="006328FE">
        <w:rPr>
          <w:rFonts w:ascii="Arial" w:hAnsi="Arial" w:cs="Arial"/>
          <w:color w:val="000000"/>
          <w:sz w:val="22"/>
          <w:szCs w:val="22"/>
        </w:rPr>
        <w:t xml:space="preserve">required panel judgment and consensus. </w:t>
      </w:r>
      <w:r w:rsidR="00465C5B">
        <w:rPr>
          <w:rFonts w:ascii="Arial" w:hAnsi="Arial" w:cs="Arial"/>
          <w:color w:val="000000"/>
          <w:sz w:val="22"/>
          <w:szCs w:val="22"/>
        </w:rPr>
        <w:t>Details about t</w:t>
      </w:r>
      <w:r w:rsidR="006328FE">
        <w:rPr>
          <w:rFonts w:ascii="Arial" w:hAnsi="Arial" w:cs="Arial"/>
          <w:color w:val="000000"/>
          <w:sz w:val="22"/>
          <w:szCs w:val="22"/>
        </w:rPr>
        <w:t xml:space="preserve">he RAND </w:t>
      </w:r>
      <w:r w:rsidR="006328FE" w:rsidRPr="00197708">
        <w:rPr>
          <w:rFonts w:ascii="Arial" w:hAnsi="Arial" w:cs="Arial"/>
          <w:color w:val="000000"/>
          <w:sz w:val="22"/>
          <w:szCs w:val="22"/>
        </w:rPr>
        <w:t xml:space="preserve">Appropriateness Method to </w:t>
      </w:r>
      <w:r w:rsidR="009D43C5">
        <w:rPr>
          <w:rFonts w:ascii="Arial" w:hAnsi="Arial" w:cs="Arial"/>
          <w:color w:val="000000"/>
          <w:sz w:val="22"/>
          <w:szCs w:val="22"/>
        </w:rPr>
        <w:t>gather consensus</w:t>
      </w:r>
      <w:r w:rsidR="00465C5B">
        <w:rPr>
          <w:rFonts w:ascii="Arial" w:hAnsi="Arial" w:cs="Arial"/>
          <w:color w:val="000000"/>
          <w:sz w:val="22"/>
          <w:szCs w:val="22"/>
        </w:rPr>
        <w:t xml:space="preserve"> </w:t>
      </w:r>
      <w:r w:rsidR="006328FE" w:rsidRPr="00197708">
        <w:rPr>
          <w:rFonts w:ascii="Arial" w:hAnsi="Arial" w:cs="Arial"/>
          <w:color w:val="000000"/>
          <w:sz w:val="22"/>
          <w:szCs w:val="22"/>
        </w:rPr>
        <w:t xml:space="preserve">have been previously published (4). </w:t>
      </w:r>
      <w:r w:rsidRPr="00197708">
        <w:rPr>
          <w:rFonts w:ascii="Arial" w:hAnsi="Arial" w:cs="Arial"/>
          <w:color w:val="000000"/>
          <w:sz w:val="22"/>
          <w:szCs w:val="22"/>
        </w:rPr>
        <w:t> </w:t>
      </w:r>
      <w:r w:rsidR="009D413C" w:rsidRPr="00197708">
        <w:rPr>
          <w:rFonts w:ascii="Arial" w:hAnsi="Arial" w:cs="Arial"/>
          <w:color w:val="000000"/>
          <w:sz w:val="22"/>
          <w:szCs w:val="22"/>
        </w:rPr>
        <w:t>Voting members of t</w:t>
      </w:r>
      <w:r w:rsidRPr="00197708">
        <w:rPr>
          <w:rFonts w:ascii="Arial" w:hAnsi="Arial" w:cs="Arial"/>
          <w:color w:val="000000"/>
          <w:sz w:val="22"/>
          <w:szCs w:val="22"/>
        </w:rPr>
        <w:t xml:space="preserve">he SHM POCUS Task Force </w:t>
      </w:r>
      <w:r w:rsidR="009D413C" w:rsidRPr="00197708">
        <w:rPr>
          <w:rFonts w:ascii="Arial" w:hAnsi="Arial" w:cs="Arial"/>
          <w:color w:val="000000"/>
          <w:sz w:val="22"/>
          <w:szCs w:val="22"/>
        </w:rPr>
        <w:t>reviewed and</w:t>
      </w:r>
      <w:r w:rsidRPr="00197708">
        <w:rPr>
          <w:rFonts w:ascii="Arial" w:hAnsi="Arial" w:cs="Arial"/>
          <w:color w:val="000000"/>
          <w:sz w:val="22"/>
          <w:szCs w:val="22"/>
        </w:rPr>
        <w:t xml:space="preserve"> voted on the </w:t>
      </w:r>
      <w:r w:rsidR="009D413C" w:rsidRPr="00197708">
        <w:rPr>
          <w:rFonts w:ascii="Arial" w:hAnsi="Arial" w:cs="Arial"/>
          <w:color w:val="000000"/>
          <w:sz w:val="22"/>
          <w:szCs w:val="22"/>
        </w:rPr>
        <w:t xml:space="preserve">draft </w:t>
      </w:r>
      <w:r w:rsidRPr="00197708">
        <w:rPr>
          <w:rFonts w:ascii="Arial" w:hAnsi="Arial" w:cs="Arial"/>
          <w:color w:val="000000"/>
          <w:sz w:val="22"/>
          <w:szCs w:val="22"/>
        </w:rPr>
        <w:t>recommendations using the RAND appropriateness method. Panel members were advised to vote on appropriateness based on these 5 transforming factors: 1) Problem priority and importance, 2) Level of quality of evidence, 3) Benefit / harm balance, 4) Benefit / burden balance, 5) Certainty / concerns about PEAF (Preferences / Equity Acceptability / Feasibility)</w:t>
      </w:r>
      <w:r w:rsidR="001B398B" w:rsidRPr="00197708">
        <w:rPr>
          <w:rFonts w:ascii="Arial" w:hAnsi="Arial" w:cs="Arial"/>
          <w:color w:val="000000"/>
          <w:sz w:val="22"/>
          <w:szCs w:val="22"/>
        </w:rPr>
        <w:t>.</w:t>
      </w:r>
    </w:p>
    <w:p w14:paraId="5914B1CE" w14:textId="77777777" w:rsidR="000C1A63" w:rsidRPr="00197708" w:rsidRDefault="000C1A63" w:rsidP="00030159">
      <w:pPr>
        <w:spacing w:line="480" w:lineRule="auto"/>
        <w:rPr>
          <w:rFonts w:ascii="Arial" w:hAnsi="Arial" w:cs="Arial"/>
          <w:color w:val="000000"/>
          <w:sz w:val="22"/>
          <w:szCs w:val="22"/>
        </w:rPr>
      </w:pPr>
    </w:p>
    <w:p w14:paraId="61E485E9" w14:textId="5C65E473" w:rsidR="008D5607" w:rsidRPr="00197708" w:rsidRDefault="008D5607" w:rsidP="00030159">
      <w:pPr>
        <w:spacing w:line="480" w:lineRule="auto"/>
        <w:rPr>
          <w:rFonts w:ascii="Arial" w:hAnsi="Arial" w:cs="Arial"/>
          <w:color w:val="000000"/>
          <w:sz w:val="22"/>
          <w:szCs w:val="22"/>
        </w:rPr>
      </w:pPr>
      <w:r w:rsidRPr="00197708">
        <w:rPr>
          <w:rFonts w:ascii="Arial" w:hAnsi="Arial" w:cs="Arial"/>
          <w:color w:val="000000"/>
          <w:sz w:val="22"/>
          <w:szCs w:val="22"/>
        </w:rPr>
        <w:t xml:space="preserve">The draft recommendations were uploaded into an internet-based electronic data collection tool (Redcap™) </w:t>
      </w:r>
      <w:r w:rsidR="00365BDF" w:rsidRPr="00197708">
        <w:rPr>
          <w:rFonts w:ascii="Arial" w:hAnsi="Arial" w:cs="Arial"/>
          <w:color w:val="000000"/>
          <w:sz w:val="22"/>
          <w:szCs w:val="22"/>
        </w:rPr>
        <w:t>(Appendix 4</w:t>
      </w:r>
      <w:r w:rsidR="00DE47B5" w:rsidRPr="00197708">
        <w:rPr>
          <w:rFonts w:ascii="Arial" w:hAnsi="Arial" w:cs="Arial"/>
          <w:color w:val="000000"/>
          <w:sz w:val="22"/>
          <w:szCs w:val="22"/>
        </w:rPr>
        <w:t>)</w:t>
      </w:r>
      <w:r w:rsidR="00087F6D" w:rsidRPr="00197708">
        <w:rPr>
          <w:rFonts w:ascii="Arial" w:hAnsi="Arial" w:cs="Arial"/>
          <w:color w:val="000000"/>
          <w:sz w:val="22"/>
          <w:szCs w:val="22"/>
        </w:rPr>
        <w:t>.  An</w:t>
      </w:r>
      <w:r w:rsidRPr="00197708">
        <w:rPr>
          <w:rFonts w:ascii="Arial" w:hAnsi="Arial" w:cs="Arial"/>
          <w:color w:val="000000"/>
          <w:sz w:val="22"/>
          <w:szCs w:val="22"/>
        </w:rPr>
        <w:t xml:space="preserve"> invitation email </w:t>
      </w:r>
      <w:r w:rsidR="00087F6D" w:rsidRPr="00197708">
        <w:rPr>
          <w:rFonts w:ascii="Arial" w:hAnsi="Arial" w:cs="Arial"/>
          <w:color w:val="000000"/>
          <w:sz w:val="22"/>
          <w:szCs w:val="22"/>
        </w:rPr>
        <w:t>was sent to panel members that included</w:t>
      </w:r>
      <w:r w:rsidRPr="00197708">
        <w:rPr>
          <w:rFonts w:ascii="Arial" w:hAnsi="Arial" w:cs="Arial"/>
          <w:color w:val="000000"/>
          <w:sz w:val="22"/>
          <w:szCs w:val="22"/>
        </w:rPr>
        <w:t xml:space="preserve"> a</w:t>
      </w:r>
      <w:r w:rsidR="00087F6D" w:rsidRPr="00197708">
        <w:rPr>
          <w:rFonts w:ascii="Arial" w:hAnsi="Arial" w:cs="Arial"/>
          <w:color w:val="000000"/>
          <w:sz w:val="22"/>
          <w:szCs w:val="22"/>
        </w:rPr>
        <w:t xml:space="preserve"> link to vote and a</w:t>
      </w:r>
      <w:r w:rsidRPr="00197708">
        <w:rPr>
          <w:rFonts w:ascii="Arial" w:hAnsi="Arial" w:cs="Arial"/>
          <w:color w:val="000000"/>
          <w:sz w:val="22"/>
          <w:szCs w:val="22"/>
        </w:rPr>
        <w:t xml:space="preserve"> data table with hyperlinks to view </w:t>
      </w:r>
      <w:r w:rsidR="00087F6D" w:rsidRPr="00197708">
        <w:rPr>
          <w:rFonts w:ascii="Arial" w:hAnsi="Arial" w:cs="Arial"/>
          <w:color w:val="000000"/>
          <w:sz w:val="22"/>
          <w:szCs w:val="22"/>
        </w:rPr>
        <w:t xml:space="preserve">PDF’s of </w:t>
      </w:r>
      <w:r w:rsidRPr="00197708">
        <w:rPr>
          <w:rFonts w:ascii="Arial" w:hAnsi="Arial" w:cs="Arial"/>
          <w:color w:val="000000"/>
          <w:sz w:val="22"/>
          <w:szCs w:val="22"/>
        </w:rPr>
        <w:t>reference articles</w:t>
      </w:r>
      <w:r w:rsidR="00087F6D" w:rsidRPr="00197708">
        <w:rPr>
          <w:rFonts w:ascii="Arial" w:hAnsi="Arial" w:cs="Arial"/>
          <w:color w:val="000000"/>
          <w:sz w:val="22"/>
          <w:szCs w:val="22"/>
        </w:rPr>
        <w:t xml:space="preserve"> online</w:t>
      </w:r>
      <w:r w:rsidRPr="00197708">
        <w:rPr>
          <w:rFonts w:ascii="Arial" w:hAnsi="Arial" w:cs="Arial"/>
          <w:color w:val="000000"/>
          <w:sz w:val="22"/>
          <w:szCs w:val="22"/>
        </w:rPr>
        <w:t>.  </w:t>
      </w:r>
      <w:r w:rsidR="007E7D6D">
        <w:rPr>
          <w:rFonts w:ascii="Arial" w:hAnsi="Arial" w:cs="Arial"/>
          <w:color w:val="000000"/>
          <w:sz w:val="22"/>
          <w:szCs w:val="22"/>
        </w:rPr>
        <w:t>Panel members participated in two</w:t>
      </w:r>
      <w:r w:rsidR="007E7D6D" w:rsidRPr="00197708">
        <w:rPr>
          <w:rFonts w:ascii="Arial" w:hAnsi="Arial" w:cs="Arial"/>
          <w:color w:val="000000"/>
          <w:sz w:val="22"/>
          <w:szCs w:val="22"/>
        </w:rPr>
        <w:t xml:space="preserve"> rounds of electronic voting</w:t>
      </w:r>
      <w:r w:rsidR="007E7D6D" w:rsidRPr="00197708" w:rsidDel="007E7D6D">
        <w:rPr>
          <w:rFonts w:ascii="Arial" w:hAnsi="Arial" w:cs="Arial"/>
          <w:color w:val="000000"/>
          <w:sz w:val="22"/>
          <w:szCs w:val="22"/>
        </w:rPr>
        <w:t xml:space="preserve"> </w:t>
      </w:r>
      <w:r w:rsidR="00087F6D" w:rsidRPr="00197708">
        <w:rPr>
          <w:rFonts w:ascii="Arial" w:hAnsi="Arial" w:cs="Arial"/>
          <w:color w:val="000000"/>
          <w:sz w:val="22"/>
          <w:szCs w:val="22"/>
        </w:rPr>
        <w:t xml:space="preserve">in December 2016 and January 2017.  </w:t>
      </w:r>
      <w:r w:rsidRPr="00197708">
        <w:rPr>
          <w:rFonts w:ascii="Arial" w:hAnsi="Arial" w:cs="Arial"/>
          <w:color w:val="000000"/>
          <w:sz w:val="22"/>
          <w:szCs w:val="22"/>
        </w:rPr>
        <w:t>Voting was conducted using a 9-point Likert scale, where 1 denotes extremely inappropri</w:t>
      </w:r>
      <w:r w:rsidR="00087F6D" w:rsidRPr="00197708">
        <w:rPr>
          <w:rFonts w:ascii="Arial" w:hAnsi="Arial" w:cs="Arial"/>
          <w:color w:val="000000"/>
          <w:sz w:val="22"/>
          <w:szCs w:val="22"/>
        </w:rPr>
        <w:t>ate and 9 extremely appropriate</w:t>
      </w:r>
      <w:r w:rsidRPr="00197708">
        <w:rPr>
          <w:rFonts w:ascii="Arial" w:hAnsi="Arial" w:cs="Arial"/>
          <w:color w:val="000000"/>
          <w:sz w:val="22"/>
          <w:szCs w:val="22"/>
        </w:rPr>
        <w:t xml:space="preserve"> with three zones: 1–3 inappropriate zone, 4–6 uncertain zone</w:t>
      </w:r>
      <w:r w:rsidR="00087F6D" w:rsidRPr="00197708">
        <w:rPr>
          <w:rFonts w:ascii="Arial" w:hAnsi="Arial" w:cs="Arial"/>
          <w:color w:val="000000"/>
          <w:sz w:val="22"/>
          <w:szCs w:val="22"/>
        </w:rPr>
        <w:t xml:space="preserve">, and 7–9 appropriate zone. </w:t>
      </w:r>
      <w:r w:rsidR="00F85108" w:rsidRPr="00197708">
        <w:rPr>
          <w:rFonts w:ascii="Arial" w:hAnsi="Arial" w:cs="Arial"/>
          <w:color w:val="000000"/>
          <w:sz w:val="22"/>
          <w:szCs w:val="22"/>
        </w:rPr>
        <w:t xml:space="preserve"> </w:t>
      </w:r>
      <w:r w:rsidR="00087F6D" w:rsidRPr="00197708">
        <w:rPr>
          <w:rFonts w:ascii="Arial" w:hAnsi="Arial" w:cs="Arial"/>
          <w:color w:val="000000"/>
          <w:sz w:val="22"/>
          <w:szCs w:val="22"/>
        </w:rPr>
        <w:t>Based on the feedback from</w:t>
      </w:r>
      <w:r w:rsidRPr="00197708">
        <w:rPr>
          <w:rFonts w:ascii="Arial" w:hAnsi="Arial" w:cs="Arial"/>
          <w:color w:val="000000"/>
          <w:sz w:val="22"/>
          <w:szCs w:val="22"/>
        </w:rPr>
        <w:t xml:space="preserve"> the first round of voting, minor modifications were made to the draft recommendations</w:t>
      </w:r>
      <w:r w:rsidR="00FC1DC7" w:rsidRPr="00197708">
        <w:rPr>
          <w:rFonts w:ascii="Arial" w:hAnsi="Arial" w:cs="Arial"/>
          <w:color w:val="000000"/>
          <w:sz w:val="22"/>
          <w:szCs w:val="22"/>
        </w:rPr>
        <w:t xml:space="preserve"> </w:t>
      </w:r>
      <w:r w:rsidR="00D635AD">
        <w:rPr>
          <w:rFonts w:ascii="Arial" w:hAnsi="Arial" w:cs="Arial"/>
          <w:color w:val="000000"/>
          <w:sz w:val="22"/>
          <w:szCs w:val="22"/>
        </w:rPr>
        <w:t>classified as having</w:t>
      </w:r>
      <w:r w:rsidR="00FC1DC7" w:rsidRPr="00197708">
        <w:rPr>
          <w:rFonts w:ascii="Arial" w:hAnsi="Arial" w:cs="Arial"/>
          <w:color w:val="000000"/>
          <w:sz w:val="22"/>
          <w:szCs w:val="22"/>
        </w:rPr>
        <w:t xml:space="preserve"> </w:t>
      </w:r>
      <w:r w:rsidR="005E3C40">
        <w:rPr>
          <w:rFonts w:ascii="Arial" w:hAnsi="Arial" w:cs="Arial"/>
          <w:color w:val="000000"/>
          <w:sz w:val="22"/>
          <w:szCs w:val="22"/>
        </w:rPr>
        <w:t>“</w:t>
      </w:r>
      <w:r w:rsidR="00FC1DC7" w:rsidRPr="00197708">
        <w:rPr>
          <w:rFonts w:ascii="Arial" w:hAnsi="Arial" w:cs="Arial"/>
          <w:color w:val="000000"/>
          <w:sz w:val="22"/>
          <w:szCs w:val="22"/>
        </w:rPr>
        <w:t>disagreement</w:t>
      </w:r>
      <w:r w:rsidRPr="00197708">
        <w:rPr>
          <w:rFonts w:ascii="Arial" w:hAnsi="Arial" w:cs="Arial"/>
          <w:color w:val="000000"/>
          <w:sz w:val="22"/>
          <w:szCs w:val="22"/>
        </w:rPr>
        <w:t>.</w:t>
      </w:r>
      <w:r w:rsidR="005E3C40">
        <w:rPr>
          <w:rFonts w:ascii="Arial" w:hAnsi="Arial" w:cs="Arial"/>
          <w:color w:val="000000"/>
          <w:sz w:val="22"/>
          <w:szCs w:val="22"/>
        </w:rPr>
        <w:t>”</w:t>
      </w:r>
      <w:r w:rsidRPr="00197708">
        <w:rPr>
          <w:rFonts w:ascii="Arial" w:hAnsi="Arial" w:cs="Arial"/>
          <w:color w:val="000000"/>
          <w:sz w:val="22"/>
          <w:szCs w:val="22"/>
        </w:rPr>
        <w:t xml:space="preserve">  </w:t>
      </w:r>
      <w:r w:rsidRPr="00F62287">
        <w:rPr>
          <w:rFonts w:ascii="Arial" w:hAnsi="Arial" w:cs="Arial"/>
          <w:color w:val="000000"/>
          <w:sz w:val="22"/>
          <w:szCs w:val="22"/>
        </w:rPr>
        <w:t>The RAND</w:t>
      </w:r>
      <w:r w:rsidR="00087F6D" w:rsidRPr="00F62287">
        <w:rPr>
          <w:rFonts w:ascii="Arial" w:hAnsi="Arial" w:cs="Arial"/>
          <w:color w:val="000000"/>
          <w:sz w:val="22"/>
          <w:szCs w:val="22"/>
        </w:rPr>
        <w:t xml:space="preserve"> appropriateness method was</w:t>
      </w:r>
      <w:r w:rsidRPr="00F62287">
        <w:rPr>
          <w:rFonts w:ascii="Arial" w:hAnsi="Arial" w:cs="Arial"/>
          <w:color w:val="000000"/>
          <w:sz w:val="22"/>
          <w:szCs w:val="22"/>
        </w:rPr>
        <w:t xml:space="preserve"> applied using expert consensus for recommendatio</w:t>
      </w:r>
      <w:r w:rsidR="00F152CF" w:rsidRPr="00F62287">
        <w:rPr>
          <w:rFonts w:ascii="Arial" w:hAnsi="Arial" w:cs="Arial"/>
          <w:color w:val="000000"/>
          <w:sz w:val="22"/>
          <w:szCs w:val="22"/>
        </w:rPr>
        <w:t>ns</w:t>
      </w:r>
      <w:r w:rsidRPr="00F62287">
        <w:rPr>
          <w:rFonts w:ascii="Arial" w:hAnsi="Arial" w:cs="Arial"/>
          <w:color w:val="000000"/>
          <w:sz w:val="22"/>
          <w:szCs w:val="22"/>
        </w:rPr>
        <w:t xml:space="preserve">. </w:t>
      </w:r>
      <w:r w:rsidR="00F152CF" w:rsidRPr="00F62287">
        <w:rPr>
          <w:rFonts w:ascii="Arial" w:hAnsi="Arial" w:cs="Arial"/>
          <w:color w:val="000000"/>
          <w:sz w:val="22"/>
          <w:szCs w:val="22"/>
        </w:rPr>
        <w:t>The degree of consensus was assessed using</w:t>
      </w:r>
      <w:r w:rsidR="00F85108" w:rsidRPr="00F62287">
        <w:rPr>
          <w:rFonts w:ascii="Arial" w:hAnsi="Arial" w:cs="Arial"/>
          <w:color w:val="000000"/>
          <w:sz w:val="22"/>
          <w:szCs w:val="22"/>
        </w:rPr>
        <w:t xml:space="preserve"> the</w:t>
      </w:r>
      <w:r w:rsidR="00F152CF" w:rsidRPr="00F62287">
        <w:rPr>
          <w:rFonts w:ascii="Arial" w:hAnsi="Arial" w:cs="Arial"/>
          <w:color w:val="000000"/>
          <w:sz w:val="22"/>
          <w:szCs w:val="22"/>
        </w:rPr>
        <w:t xml:space="preserve"> RAND algorithm</w:t>
      </w:r>
      <w:r w:rsidR="00F85108" w:rsidRPr="00F62287">
        <w:rPr>
          <w:rFonts w:ascii="Arial" w:hAnsi="Arial" w:cs="Arial"/>
          <w:color w:val="000000"/>
          <w:sz w:val="22"/>
          <w:szCs w:val="22"/>
        </w:rPr>
        <w:t xml:space="preserve"> during the 2 rounds of voting </w:t>
      </w:r>
      <w:r w:rsidR="00F152CF" w:rsidRPr="00F62287">
        <w:rPr>
          <w:rFonts w:ascii="Arial" w:hAnsi="Arial" w:cs="Arial"/>
          <w:color w:val="000000"/>
          <w:sz w:val="22"/>
          <w:szCs w:val="22"/>
        </w:rPr>
        <w:t>(</w:t>
      </w:r>
      <w:r w:rsidR="00197708" w:rsidRPr="00B7329C">
        <w:rPr>
          <w:rFonts w:ascii="Arial" w:hAnsi="Arial" w:cs="Arial"/>
          <w:color w:val="000000"/>
          <w:sz w:val="22"/>
          <w:szCs w:val="22"/>
        </w:rPr>
        <w:t xml:space="preserve">see below, </w:t>
      </w:r>
      <w:r w:rsidR="00F85108" w:rsidRPr="00B7329C">
        <w:rPr>
          <w:rFonts w:ascii="Arial" w:hAnsi="Arial" w:cs="Arial"/>
          <w:color w:val="000000"/>
          <w:sz w:val="22"/>
          <w:szCs w:val="22"/>
        </w:rPr>
        <w:t>Figure 1</w:t>
      </w:r>
      <w:r w:rsidR="00F152CF" w:rsidRPr="00F62287">
        <w:rPr>
          <w:rFonts w:ascii="Arial" w:hAnsi="Arial" w:cs="Arial"/>
          <w:color w:val="000000"/>
          <w:sz w:val="22"/>
          <w:szCs w:val="22"/>
        </w:rPr>
        <w:t>)</w:t>
      </w:r>
      <w:r w:rsidR="00F85108" w:rsidRPr="00F62287">
        <w:rPr>
          <w:rFonts w:ascii="Arial" w:hAnsi="Arial" w:cs="Arial"/>
          <w:color w:val="000000"/>
          <w:sz w:val="22"/>
          <w:szCs w:val="22"/>
        </w:rPr>
        <w:t xml:space="preserve">. </w:t>
      </w:r>
      <w:r w:rsidR="003411CE" w:rsidRPr="00F62287">
        <w:rPr>
          <w:rFonts w:ascii="Arial" w:hAnsi="Arial" w:cs="Arial"/>
          <w:color w:val="000000"/>
          <w:sz w:val="22"/>
          <w:szCs w:val="22"/>
        </w:rPr>
        <w:t xml:space="preserve"> </w:t>
      </w:r>
      <w:r w:rsidRPr="00F62287">
        <w:rPr>
          <w:rFonts w:ascii="Arial" w:hAnsi="Arial" w:cs="Arial"/>
          <w:color w:val="000000"/>
          <w:sz w:val="22"/>
          <w:szCs w:val="22"/>
        </w:rPr>
        <w:t xml:space="preserve">Establishing a recommendation required at least 70% agreement and a strong recommendation required 80% agreement following the </w:t>
      </w:r>
      <w:r w:rsidR="00F152CF" w:rsidRPr="00F62287">
        <w:rPr>
          <w:rFonts w:ascii="Arial" w:hAnsi="Arial" w:cs="Arial"/>
          <w:color w:val="000000"/>
          <w:sz w:val="22"/>
          <w:szCs w:val="22"/>
        </w:rPr>
        <w:t>RAND rules</w:t>
      </w:r>
      <w:r w:rsidR="00087F6D" w:rsidRPr="00F62287">
        <w:rPr>
          <w:rFonts w:ascii="Arial" w:hAnsi="Arial" w:cs="Arial"/>
          <w:color w:val="000000"/>
          <w:sz w:val="22"/>
          <w:szCs w:val="22"/>
        </w:rPr>
        <w:t xml:space="preserve"> (</w:t>
      </w:r>
      <w:r w:rsidR="00197708" w:rsidRPr="00B7329C">
        <w:rPr>
          <w:rFonts w:ascii="Arial" w:hAnsi="Arial" w:cs="Arial"/>
          <w:color w:val="000000"/>
          <w:sz w:val="22"/>
          <w:szCs w:val="22"/>
        </w:rPr>
        <w:t xml:space="preserve">see below, </w:t>
      </w:r>
      <w:r w:rsidR="00F152CF" w:rsidRPr="00B7329C">
        <w:rPr>
          <w:rFonts w:ascii="Arial" w:hAnsi="Arial" w:cs="Arial"/>
          <w:color w:val="000000"/>
          <w:sz w:val="22"/>
          <w:szCs w:val="22"/>
        </w:rPr>
        <w:t xml:space="preserve">Table </w:t>
      </w:r>
      <w:r w:rsidR="000B3480" w:rsidRPr="00B7329C">
        <w:rPr>
          <w:rFonts w:ascii="Arial" w:hAnsi="Arial" w:cs="Arial"/>
          <w:color w:val="000000"/>
          <w:sz w:val="22"/>
          <w:szCs w:val="22"/>
        </w:rPr>
        <w:t>1</w:t>
      </w:r>
      <w:r w:rsidR="00087F6D" w:rsidRPr="00F62287">
        <w:rPr>
          <w:rFonts w:ascii="Arial" w:hAnsi="Arial" w:cs="Arial"/>
          <w:color w:val="000000"/>
          <w:sz w:val="22"/>
          <w:szCs w:val="22"/>
        </w:rPr>
        <w:t>).</w:t>
      </w:r>
      <w:r w:rsidR="00F4706F" w:rsidRPr="00F62287">
        <w:rPr>
          <w:rFonts w:ascii="Arial" w:hAnsi="Arial" w:cs="Arial"/>
          <w:color w:val="000000"/>
          <w:sz w:val="22"/>
          <w:szCs w:val="22"/>
        </w:rPr>
        <w:t xml:space="preserve"> </w:t>
      </w:r>
      <w:r w:rsidR="00F85108" w:rsidRPr="00F62287">
        <w:rPr>
          <w:rFonts w:ascii="Arial" w:hAnsi="Arial" w:cs="Arial"/>
          <w:color w:val="000000"/>
          <w:sz w:val="22"/>
          <w:szCs w:val="22"/>
        </w:rPr>
        <w:t>Disagreement was defined as &gt;30% of panelists voting</w:t>
      </w:r>
      <w:r w:rsidR="00F4706F" w:rsidRPr="00F62287">
        <w:rPr>
          <w:rFonts w:ascii="Arial" w:hAnsi="Arial" w:cs="Arial"/>
          <w:color w:val="000000"/>
          <w:sz w:val="22"/>
          <w:szCs w:val="22"/>
        </w:rPr>
        <w:t xml:space="preserve"> outside</w:t>
      </w:r>
      <w:r w:rsidR="00F85108" w:rsidRPr="00F62287">
        <w:rPr>
          <w:rFonts w:ascii="Arial" w:hAnsi="Arial" w:cs="Arial"/>
          <w:color w:val="000000"/>
          <w:sz w:val="22"/>
          <w:szCs w:val="22"/>
        </w:rPr>
        <w:t xml:space="preserve"> of</w:t>
      </w:r>
      <w:r w:rsidR="00F4706F" w:rsidRPr="00F62287">
        <w:rPr>
          <w:rFonts w:ascii="Arial" w:hAnsi="Arial" w:cs="Arial"/>
          <w:color w:val="000000"/>
          <w:sz w:val="22"/>
          <w:szCs w:val="22"/>
        </w:rPr>
        <w:t xml:space="preserve"> the zone of the median.</w:t>
      </w:r>
    </w:p>
    <w:p w14:paraId="16F21F74" w14:textId="77777777" w:rsidR="008D5607" w:rsidRPr="00197708" w:rsidRDefault="008D5607" w:rsidP="00030159">
      <w:pPr>
        <w:spacing w:line="480" w:lineRule="auto"/>
        <w:rPr>
          <w:rFonts w:ascii="Times" w:eastAsia="Times New Roman" w:hAnsi="Times" w:cs="Times New Roman"/>
          <w:sz w:val="20"/>
          <w:szCs w:val="20"/>
        </w:rPr>
      </w:pPr>
    </w:p>
    <w:p w14:paraId="61AD5684" w14:textId="10358B30" w:rsidR="008D5607" w:rsidRPr="008D5607" w:rsidRDefault="00A94613" w:rsidP="00030159">
      <w:pPr>
        <w:spacing w:line="480" w:lineRule="auto"/>
        <w:rPr>
          <w:rFonts w:ascii="Times" w:hAnsi="Times" w:cs="Times New Roman"/>
          <w:sz w:val="20"/>
          <w:szCs w:val="20"/>
        </w:rPr>
      </w:pPr>
      <w:r w:rsidRPr="00197708">
        <w:rPr>
          <w:rFonts w:ascii="Arial" w:hAnsi="Arial" w:cs="Arial"/>
          <w:color w:val="000000"/>
          <w:sz w:val="22"/>
          <w:szCs w:val="22"/>
        </w:rPr>
        <w:lastRenderedPageBreak/>
        <w:t>The Thoracentesis Working G</w:t>
      </w:r>
      <w:r w:rsidR="00374635" w:rsidRPr="00197708">
        <w:rPr>
          <w:rFonts w:ascii="Arial" w:hAnsi="Arial" w:cs="Arial"/>
          <w:color w:val="000000"/>
          <w:sz w:val="22"/>
          <w:szCs w:val="22"/>
        </w:rPr>
        <w:t xml:space="preserve">roup members reviewed the voting results and </w:t>
      </w:r>
      <w:r w:rsidR="003954BC" w:rsidRPr="00197708">
        <w:rPr>
          <w:rFonts w:ascii="Arial" w:hAnsi="Arial" w:cs="Arial"/>
          <w:color w:val="000000"/>
          <w:sz w:val="22"/>
          <w:szCs w:val="22"/>
        </w:rPr>
        <w:t>narrative comm</w:t>
      </w:r>
      <w:r w:rsidR="00374635" w:rsidRPr="00197708">
        <w:rPr>
          <w:rFonts w:ascii="Arial" w:hAnsi="Arial" w:cs="Arial"/>
          <w:color w:val="000000"/>
          <w:sz w:val="22"/>
          <w:szCs w:val="22"/>
        </w:rPr>
        <w:t>ents, to revise the d</w:t>
      </w:r>
      <w:r w:rsidR="003954BC" w:rsidRPr="00197708">
        <w:rPr>
          <w:rFonts w:ascii="Arial" w:hAnsi="Arial" w:cs="Arial"/>
          <w:color w:val="000000"/>
          <w:sz w:val="22"/>
          <w:szCs w:val="22"/>
        </w:rPr>
        <w:t>raft reco</w:t>
      </w:r>
      <w:r w:rsidR="00374635" w:rsidRPr="00197708">
        <w:rPr>
          <w:rFonts w:ascii="Arial" w:hAnsi="Arial" w:cs="Arial"/>
          <w:color w:val="000000"/>
          <w:sz w:val="22"/>
          <w:szCs w:val="22"/>
        </w:rPr>
        <w:t>mmendations.  Any recommendations with disagreement were removed</w:t>
      </w:r>
      <w:r w:rsidR="002A3A8E">
        <w:rPr>
          <w:rFonts w:ascii="Arial" w:hAnsi="Arial" w:cs="Arial"/>
          <w:color w:val="000000"/>
          <w:sz w:val="22"/>
          <w:szCs w:val="22"/>
        </w:rPr>
        <w:t xml:space="preserve">. </w:t>
      </w:r>
      <w:r w:rsidR="00F02A4F">
        <w:rPr>
          <w:rFonts w:ascii="Arial" w:hAnsi="Arial" w:cs="Arial"/>
          <w:color w:val="000000"/>
          <w:sz w:val="22"/>
          <w:szCs w:val="22"/>
        </w:rPr>
        <w:t>Some phrases</w:t>
      </w:r>
      <w:r w:rsidR="00F92BFD">
        <w:rPr>
          <w:rFonts w:ascii="Arial" w:hAnsi="Arial" w:cs="Arial"/>
          <w:color w:val="000000"/>
          <w:sz w:val="22"/>
          <w:szCs w:val="22"/>
        </w:rPr>
        <w:t xml:space="preserve"> and </w:t>
      </w:r>
      <w:r w:rsidR="002A3A8E">
        <w:rPr>
          <w:rFonts w:ascii="Arial" w:hAnsi="Arial" w:cs="Arial"/>
          <w:color w:val="000000"/>
          <w:sz w:val="22"/>
          <w:szCs w:val="22"/>
        </w:rPr>
        <w:t xml:space="preserve">references </w:t>
      </w:r>
      <w:r w:rsidR="00F02A4F">
        <w:rPr>
          <w:rFonts w:ascii="Arial" w:hAnsi="Arial" w:cs="Arial"/>
          <w:color w:val="000000"/>
          <w:sz w:val="22"/>
          <w:szCs w:val="22"/>
        </w:rPr>
        <w:t>from recommendations with dis</w:t>
      </w:r>
      <w:r w:rsidR="002B3C13">
        <w:rPr>
          <w:rFonts w:ascii="Arial" w:hAnsi="Arial" w:cs="Arial"/>
          <w:color w:val="000000"/>
          <w:sz w:val="22"/>
          <w:szCs w:val="22"/>
        </w:rPr>
        <w:t>agreement were incorporated in</w:t>
      </w:r>
      <w:r w:rsidR="00F02A4F">
        <w:rPr>
          <w:rFonts w:ascii="Arial" w:hAnsi="Arial" w:cs="Arial"/>
          <w:color w:val="000000"/>
          <w:sz w:val="22"/>
          <w:szCs w:val="22"/>
        </w:rPr>
        <w:t xml:space="preserve"> relevant recommendations without disagreement</w:t>
      </w:r>
      <w:r w:rsidR="00374635" w:rsidRPr="00197708">
        <w:rPr>
          <w:rFonts w:ascii="Arial" w:hAnsi="Arial" w:cs="Arial"/>
          <w:color w:val="000000"/>
          <w:sz w:val="22"/>
          <w:szCs w:val="22"/>
        </w:rPr>
        <w:t>.  Recommendations were classified as strong or weak/conditional</w:t>
      </w:r>
      <w:r w:rsidR="008D5607" w:rsidRPr="00197708">
        <w:rPr>
          <w:rFonts w:ascii="Arial" w:hAnsi="Arial" w:cs="Arial"/>
          <w:color w:val="000000"/>
          <w:sz w:val="22"/>
          <w:szCs w:val="22"/>
        </w:rPr>
        <w:t xml:space="preserve"> based on preset rules defining the panel’s </w:t>
      </w:r>
      <w:r w:rsidR="00374635" w:rsidRPr="00197708">
        <w:rPr>
          <w:rFonts w:ascii="Arial" w:hAnsi="Arial" w:cs="Arial"/>
          <w:color w:val="000000"/>
          <w:sz w:val="22"/>
          <w:szCs w:val="22"/>
        </w:rPr>
        <w:t xml:space="preserve">level of </w:t>
      </w:r>
      <w:r w:rsidR="008D5607" w:rsidRPr="00197708">
        <w:rPr>
          <w:rFonts w:ascii="Arial" w:hAnsi="Arial" w:cs="Arial"/>
          <w:color w:val="000000"/>
          <w:sz w:val="22"/>
          <w:szCs w:val="22"/>
        </w:rPr>
        <w:t xml:space="preserve">consensus, which determined the </w:t>
      </w:r>
      <w:r w:rsidR="00374635" w:rsidRPr="00197708">
        <w:rPr>
          <w:rFonts w:ascii="Arial" w:hAnsi="Arial" w:cs="Arial"/>
          <w:color w:val="000000"/>
          <w:sz w:val="22"/>
          <w:szCs w:val="22"/>
        </w:rPr>
        <w:t>wording for</w:t>
      </w:r>
      <w:r w:rsidR="008D5607" w:rsidRPr="00197708">
        <w:rPr>
          <w:rFonts w:ascii="Arial" w:hAnsi="Arial" w:cs="Arial"/>
          <w:color w:val="000000"/>
          <w:sz w:val="22"/>
          <w:szCs w:val="22"/>
        </w:rPr>
        <w:t xml:space="preserve"> each recommendation</w:t>
      </w:r>
      <w:r w:rsidR="00F4706F" w:rsidRPr="00197708">
        <w:rPr>
          <w:rFonts w:ascii="Arial" w:hAnsi="Arial" w:cs="Arial"/>
          <w:color w:val="000000"/>
          <w:sz w:val="22"/>
          <w:szCs w:val="22"/>
        </w:rPr>
        <w:t xml:space="preserve"> (</w:t>
      </w:r>
      <w:r w:rsidR="00197708" w:rsidRPr="00B7329C">
        <w:rPr>
          <w:rFonts w:ascii="Arial" w:hAnsi="Arial" w:cs="Arial"/>
          <w:color w:val="000000"/>
          <w:sz w:val="22"/>
          <w:szCs w:val="22"/>
        </w:rPr>
        <w:t xml:space="preserve">see below, </w:t>
      </w:r>
      <w:r w:rsidR="00F4706F" w:rsidRPr="00B7329C">
        <w:rPr>
          <w:rFonts w:ascii="Arial" w:hAnsi="Arial" w:cs="Arial"/>
          <w:color w:val="000000"/>
          <w:sz w:val="22"/>
          <w:szCs w:val="22"/>
        </w:rPr>
        <w:t xml:space="preserve">Table </w:t>
      </w:r>
      <w:r w:rsidR="00F02A4F" w:rsidRPr="00B7329C">
        <w:rPr>
          <w:rFonts w:ascii="Arial" w:hAnsi="Arial" w:cs="Arial"/>
          <w:color w:val="000000"/>
          <w:sz w:val="22"/>
          <w:szCs w:val="22"/>
        </w:rPr>
        <w:t>2</w:t>
      </w:r>
      <w:r w:rsidR="00F4706F" w:rsidRPr="00197708">
        <w:rPr>
          <w:rFonts w:ascii="Arial" w:hAnsi="Arial" w:cs="Arial"/>
          <w:color w:val="000000"/>
          <w:sz w:val="22"/>
          <w:szCs w:val="22"/>
        </w:rPr>
        <w:t>)</w:t>
      </w:r>
      <w:r w:rsidR="008D5607" w:rsidRPr="00197708">
        <w:rPr>
          <w:rFonts w:ascii="Arial" w:hAnsi="Arial" w:cs="Arial"/>
          <w:color w:val="000000"/>
          <w:sz w:val="22"/>
          <w:szCs w:val="22"/>
        </w:rPr>
        <w:t>.  For strong recommendations, the phrase ‘‘we recommend’’ was used, along with the verb ‘‘must’’ or ‘‘should’’ depending upon whether or not the degree of consensus was perfect vs. very good, respectively.  For weak or conditional recommendations, the phrase ‘‘we suggest’’ was used, along with the verb “can” or ‘‘may’’ depending on whether or not t</w:t>
      </w:r>
      <w:r w:rsidR="00F4706F" w:rsidRPr="00197708">
        <w:rPr>
          <w:rFonts w:ascii="Arial" w:hAnsi="Arial" w:cs="Arial"/>
          <w:color w:val="000000"/>
          <w:sz w:val="22"/>
          <w:szCs w:val="22"/>
        </w:rPr>
        <w:t>he degree of consensus was good</w:t>
      </w:r>
      <w:r w:rsidR="00F02A4F">
        <w:rPr>
          <w:rFonts w:ascii="Arial" w:hAnsi="Arial" w:cs="Arial"/>
          <w:color w:val="000000"/>
          <w:sz w:val="22"/>
          <w:szCs w:val="22"/>
        </w:rPr>
        <w:t xml:space="preserve"> </w:t>
      </w:r>
      <w:r w:rsidR="00E74F62" w:rsidRPr="00197708">
        <w:rPr>
          <w:rFonts w:ascii="Arial" w:hAnsi="Arial" w:cs="Arial"/>
          <w:color w:val="000000"/>
          <w:sz w:val="22"/>
          <w:szCs w:val="22"/>
        </w:rPr>
        <w:t>(</w:t>
      </w:r>
      <w:r w:rsidR="00452899">
        <w:rPr>
          <w:rFonts w:ascii="Arial" w:hAnsi="Arial" w:cs="Arial"/>
          <w:color w:val="000000"/>
          <w:sz w:val="22"/>
          <w:szCs w:val="22"/>
        </w:rPr>
        <w:t>4</w:t>
      </w:r>
      <w:r w:rsidR="00E74F62" w:rsidRPr="00197708">
        <w:rPr>
          <w:rFonts w:ascii="Arial" w:hAnsi="Arial" w:cs="Arial"/>
          <w:color w:val="000000"/>
          <w:sz w:val="22"/>
          <w:szCs w:val="22"/>
        </w:rPr>
        <w:t>)</w:t>
      </w:r>
      <w:r w:rsidR="00F4706F" w:rsidRPr="00197708">
        <w:rPr>
          <w:rFonts w:ascii="Arial" w:hAnsi="Arial" w:cs="Arial"/>
          <w:color w:val="000000"/>
          <w:sz w:val="22"/>
          <w:szCs w:val="22"/>
        </w:rPr>
        <w:t>.</w:t>
      </w:r>
      <w:r w:rsidR="008D5607" w:rsidRPr="008D5607">
        <w:rPr>
          <w:rFonts w:ascii="Arial" w:hAnsi="Arial" w:cs="Arial"/>
          <w:color w:val="000000"/>
          <w:sz w:val="22"/>
          <w:szCs w:val="22"/>
        </w:rPr>
        <w:t xml:space="preserve">  </w:t>
      </w:r>
    </w:p>
    <w:p w14:paraId="51DCFAB1" w14:textId="77777777" w:rsidR="008D5607" w:rsidRPr="008D5607" w:rsidRDefault="008D5607" w:rsidP="00030159">
      <w:pPr>
        <w:spacing w:line="480" w:lineRule="auto"/>
        <w:rPr>
          <w:rFonts w:ascii="Times" w:eastAsia="Times New Roman" w:hAnsi="Times" w:cs="Times New Roman"/>
          <w:sz w:val="20"/>
          <w:szCs w:val="20"/>
        </w:rPr>
      </w:pPr>
    </w:p>
    <w:p w14:paraId="15A2E788" w14:textId="57F9025F" w:rsidR="00F93DBA" w:rsidRPr="004B3E14" w:rsidRDefault="008D5607" w:rsidP="00030159">
      <w:pPr>
        <w:spacing w:line="480" w:lineRule="auto"/>
        <w:rPr>
          <w:rFonts w:ascii="Arial" w:hAnsi="Arial" w:cs="Arial"/>
          <w:sz w:val="22"/>
          <w:szCs w:val="22"/>
        </w:rPr>
      </w:pPr>
      <w:r w:rsidRPr="008D5607">
        <w:rPr>
          <w:rFonts w:ascii="Arial" w:hAnsi="Arial" w:cs="Arial"/>
          <w:color w:val="000000"/>
          <w:sz w:val="22"/>
          <w:szCs w:val="22"/>
        </w:rPr>
        <w:t xml:space="preserve">The final recommendations </w:t>
      </w:r>
      <w:r w:rsidR="0098108B">
        <w:rPr>
          <w:rFonts w:ascii="Arial" w:hAnsi="Arial" w:cs="Arial"/>
          <w:color w:val="000000"/>
          <w:sz w:val="22"/>
          <w:szCs w:val="22"/>
        </w:rPr>
        <w:t xml:space="preserve">were </w:t>
      </w:r>
      <w:r w:rsidR="00975560">
        <w:rPr>
          <w:rFonts w:ascii="Arial" w:hAnsi="Arial" w:cs="Arial"/>
          <w:color w:val="000000"/>
          <w:sz w:val="22"/>
          <w:szCs w:val="22"/>
        </w:rPr>
        <w:t>reviewed and revised</w:t>
      </w:r>
      <w:r w:rsidR="00A94613">
        <w:rPr>
          <w:rFonts w:ascii="Arial" w:hAnsi="Arial" w:cs="Arial"/>
          <w:color w:val="000000"/>
          <w:sz w:val="22"/>
          <w:szCs w:val="22"/>
        </w:rPr>
        <w:t xml:space="preserve"> by a writing committee, which consisted of the Thoracentesis Working Group, chairs of </w:t>
      </w:r>
      <w:r w:rsidR="0098108B">
        <w:rPr>
          <w:rFonts w:ascii="Arial" w:hAnsi="Arial" w:cs="Arial"/>
          <w:color w:val="000000"/>
          <w:sz w:val="22"/>
          <w:szCs w:val="22"/>
        </w:rPr>
        <w:t>all 5 working groups, and 2</w:t>
      </w:r>
      <w:r w:rsidR="00A94613">
        <w:rPr>
          <w:rFonts w:ascii="Arial" w:hAnsi="Arial" w:cs="Arial"/>
          <w:color w:val="000000"/>
          <w:sz w:val="22"/>
          <w:szCs w:val="22"/>
        </w:rPr>
        <w:t xml:space="preserve"> of the Task Force co-chairs. </w:t>
      </w:r>
      <w:r w:rsidR="004A734F">
        <w:rPr>
          <w:rFonts w:ascii="Arial" w:hAnsi="Arial" w:cs="Arial"/>
          <w:sz w:val="22"/>
          <w:szCs w:val="22"/>
        </w:rPr>
        <w:t>The writing group was tasked with final review of</w:t>
      </w:r>
      <w:r w:rsidR="00975560" w:rsidRPr="004B3E14">
        <w:rPr>
          <w:rFonts w:ascii="Arial" w:hAnsi="Arial" w:cs="Arial"/>
          <w:sz w:val="22"/>
          <w:szCs w:val="22"/>
        </w:rPr>
        <w:t xml:space="preserve"> </w:t>
      </w:r>
      <w:r w:rsidR="004A734F">
        <w:rPr>
          <w:rFonts w:ascii="Arial" w:hAnsi="Arial" w:cs="Arial"/>
          <w:sz w:val="22"/>
          <w:szCs w:val="22"/>
        </w:rPr>
        <w:t xml:space="preserve">each </w:t>
      </w:r>
      <w:r w:rsidR="002B3C13">
        <w:rPr>
          <w:rFonts w:ascii="Arial" w:hAnsi="Arial" w:cs="Arial"/>
          <w:sz w:val="22"/>
          <w:szCs w:val="22"/>
        </w:rPr>
        <w:t>recommendation</w:t>
      </w:r>
      <w:r w:rsidR="004A734F">
        <w:rPr>
          <w:rFonts w:ascii="Arial" w:hAnsi="Arial" w:cs="Arial"/>
          <w:sz w:val="22"/>
          <w:szCs w:val="22"/>
        </w:rPr>
        <w:t>’s</w:t>
      </w:r>
      <w:r w:rsidR="00975560" w:rsidRPr="004B3E14">
        <w:rPr>
          <w:rFonts w:ascii="Arial" w:hAnsi="Arial" w:cs="Arial"/>
          <w:sz w:val="22"/>
          <w:szCs w:val="22"/>
        </w:rPr>
        <w:t xml:space="preserve"> </w:t>
      </w:r>
      <w:r w:rsidR="004A734F">
        <w:rPr>
          <w:rFonts w:ascii="Arial" w:hAnsi="Arial" w:cs="Arial"/>
          <w:sz w:val="22"/>
          <w:szCs w:val="22"/>
        </w:rPr>
        <w:t xml:space="preserve">wording, </w:t>
      </w:r>
      <w:r w:rsidR="00975560" w:rsidRPr="004B3E14">
        <w:rPr>
          <w:rFonts w:ascii="Arial" w:hAnsi="Arial" w:cs="Arial"/>
          <w:sz w:val="22"/>
          <w:szCs w:val="22"/>
        </w:rPr>
        <w:t>clinical relevance, usability, and feasibility</w:t>
      </w:r>
      <w:r w:rsidR="00975560">
        <w:rPr>
          <w:rFonts w:ascii="Arial" w:hAnsi="Arial" w:cs="Arial"/>
          <w:sz w:val="22"/>
          <w:szCs w:val="22"/>
        </w:rPr>
        <w:t xml:space="preserve">.  </w:t>
      </w:r>
      <w:r w:rsidR="00975560" w:rsidRPr="004B3E14">
        <w:rPr>
          <w:rFonts w:ascii="Arial" w:hAnsi="Arial" w:cs="Arial"/>
          <w:sz w:val="22"/>
          <w:szCs w:val="22"/>
        </w:rPr>
        <w:t>The revised manuscri</w:t>
      </w:r>
      <w:r w:rsidR="00975560">
        <w:rPr>
          <w:rFonts w:ascii="Arial" w:hAnsi="Arial" w:cs="Arial"/>
          <w:sz w:val="22"/>
          <w:szCs w:val="22"/>
        </w:rPr>
        <w:t>pt underwent external</w:t>
      </w:r>
      <w:r w:rsidR="003B7E9B">
        <w:rPr>
          <w:rFonts w:ascii="Arial" w:hAnsi="Arial" w:cs="Arial"/>
          <w:sz w:val="22"/>
          <w:szCs w:val="22"/>
        </w:rPr>
        <w:t xml:space="preserve"> peer</w:t>
      </w:r>
      <w:r w:rsidR="00975560">
        <w:rPr>
          <w:rFonts w:ascii="Arial" w:hAnsi="Arial" w:cs="Arial"/>
          <w:sz w:val="22"/>
          <w:szCs w:val="22"/>
        </w:rPr>
        <w:t xml:space="preserve"> review by </w:t>
      </w:r>
      <w:r w:rsidR="0098108B">
        <w:rPr>
          <w:rFonts w:ascii="Arial" w:hAnsi="Arial" w:cs="Arial"/>
          <w:sz w:val="22"/>
          <w:szCs w:val="22"/>
        </w:rPr>
        <w:t>POCUS experts</w:t>
      </w:r>
      <w:r w:rsidR="00975560" w:rsidRPr="004B3E14">
        <w:rPr>
          <w:rFonts w:ascii="Arial" w:hAnsi="Arial" w:cs="Arial"/>
          <w:sz w:val="22"/>
          <w:szCs w:val="22"/>
        </w:rPr>
        <w:t xml:space="preserve"> from different </w:t>
      </w:r>
      <w:r w:rsidR="00975560">
        <w:rPr>
          <w:rFonts w:ascii="Arial" w:hAnsi="Arial" w:cs="Arial"/>
          <w:sz w:val="22"/>
          <w:szCs w:val="22"/>
        </w:rPr>
        <w:t>sub</w:t>
      </w:r>
      <w:r w:rsidR="00975560" w:rsidRPr="004B3E14">
        <w:rPr>
          <w:rFonts w:ascii="Arial" w:hAnsi="Arial" w:cs="Arial"/>
          <w:sz w:val="22"/>
          <w:szCs w:val="22"/>
        </w:rPr>
        <w:t>specialtie</w:t>
      </w:r>
      <w:r w:rsidR="00975560">
        <w:rPr>
          <w:rFonts w:ascii="Arial" w:hAnsi="Arial" w:cs="Arial"/>
          <w:sz w:val="22"/>
          <w:szCs w:val="22"/>
        </w:rPr>
        <w:t>s that are</w:t>
      </w:r>
      <w:r w:rsidR="00975560">
        <w:rPr>
          <w:rFonts w:ascii="Arial" w:hAnsi="Arial" w:cs="Arial"/>
          <w:color w:val="000000"/>
          <w:sz w:val="22"/>
          <w:szCs w:val="22"/>
        </w:rPr>
        <w:t xml:space="preserve"> members of SHM POCUS Task Force</w:t>
      </w:r>
      <w:r w:rsidR="00A94613" w:rsidRPr="008D5607">
        <w:rPr>
          <w:rFonts w:ascii="Arial" w:hAnsi="Arial" w:cs="Arial"/>
          <w:color w:val="000000"/>
          <w:sz w:val="22"/>
          <w:szCs w:val="22"/>
        </w:rPr>
        <w:t xml:space="preserve">. </w:t>
      </w:r>
      <w:r w:rsidR="00975560">
        <w:rPr>
          <w:rFonts w:ascii="Arial" w:hAnsi="Arial" w:cs="Arial"/>
          <w:color w:val="000000"/>
          <w:sz w:val="22"/>
          <w:szCs w:val="22"/>
        </w:rPr>
        <w:t xml:space="preserve">Final review of the guidelines document was performed by all members of the SHM POCUS Task Force, SHM Education Committee, and </w:t>
      </w:r>
      <w:r w:rsidR="00975560" w:rsidRPr="008D5607">
        <w:rPr>
          <w:rFonts w:ascii="Arial" w:hAnsi="Arial" w:cs="Arial"/>
          <w:color w:val="000000"/>
          <w:sz w:val="22"/>
          <w:szCs w:val="22"/>
        </w:rPr>
        <w:t>SHM Board of Directors.</w:t>
      </w:r>
      <w:r w:rsidR="003B7E9B">
        <w:rPr>
          <w:rFonts w:ascii="Arial" w:hAnsi="Arial" w:cs="Arial"/>
          <w:color w:val="000000"/>
          <w:sz w:val="22"/>
          <w:szCs w:val="22"/>
        </w:rPr>
        <w:t xml:space="preserve">  The SHM Board of Directors endorsed the document prior to submission to the Journal of Hospital Medicine.</w:t>
      </w:r>
      <w:r w:rsidR="00975560" w:rsidRPr="008D5607">
        <w:rPr>
          <w:rFonts w:ascii="Arial" w:hAnsi="Arial" w:cs="Arial"/>
          <w:color w:val="000000"/>
          <w:sz w:val="22"/>
          <w:szCs w:val="22"/>
        </w:rPr>
        <w:t xml:space="preserve">  </w:t>
      </w:r>
      <w:r w:rsidR="00A94613" w:rsidRPr="008D5607">
        <w:rPr>
          <w:rFonts w:ascii="Arial" w:hAnsi="Arial" w:cs="Arial"/>
          <w:color w:val="000000"/>
          <w:sz w:val="22"/>
          <w:szCs w:val="22"/>
        </w:rPr>
        <w:t> </w:t>
      </w:r>
      <w:r w:rsidR="00975560">
        <w:rPr>
          <w:rFonts w:ascii="Arial" w:hAnsi="Arial" w:cs="Arial"/>
          <w:sz w:val="22"/>
          <w:szCs w:val="22"/>
        </w:rPr>
        <w:t xml:space="preserve"> </w:t>
      </w:r>
    </w:p>
    <w:p w14:paraId="172B0B69" w14:textId="77777777" w:rsidR="007E7D6D" w:rsidRDefault="007E7D6D" w:rsidP="00030159">
      <w:pPr>
        <w:spacing w:line="480" w:lineRule="auto"/>
        <w:rPr>
          <w:rFonts w:ascii="Arial" w:hAnsi="Arial" w:cs="Arial"/>
          <w:sz w:val="22"/>
          <w:szCs w:val="22"/>
        </w:rPr>
      </w:pPr>
    </w:p>
    <w:p w14:paraId="7012CA76" w14:textId="77777777" w:rsidR="007E7D6D" w:rsidRDefault="007E7D6D" w:rsidP="007E7D6D">
      <w:pPr>
        <w:rPr>
          <w:rFonts w:ascii="Arial" w:hAnsi="Arial" w:cs="Arial"/>
          <w:b/>
          <w:sz w:val="22"/>
          <w:szCs w:val="22"/>
        </w:rPr>
      </w:pPr>
    </w:p>
    <w:p w14:paraId="1BEE06CF" w14:textId="77777777" w:rsidR="007E7D6D" w:rsidRDefault="007E7D6D" w:rsidP="007E7D6D">
      <w:pPr>
        <w:rPr>
          <w:rFonts w:ascii="Arial" w:hAnsi="Arial" w:cs="Arial"/>
          <w:b/>
          <w:sz w:val="22"/>
          <w:szCs w:val="22"/>
        </w:rPr>
      </w:pPr>
    </w:p>
    <w:p w14:paraId="1587E315" w14:textId="77777777" w:rsidR="007E7D6D" w:rsidRDefault="007E7D6D" w:rsidP="007E7D6D">
      <w:pPr>
        <w:rPr>
          <w:rFonts w:ascii="Arial" w:hAnsi="Arial" w:cs="Arial"/>
          <w:b/>
          <w:sz w:val="22"/>
          <w:szCs w:val="22"/>
        </w:rPr>
      </w:pPr>
    </w:p>
    <w:p w14:paraId="191F52BB" w14:textId="77777777" w:rsidR="007E7D6D" w:rsidRDefault="007E7D6D" w:rsidP="007E7D6D">
      <w:pPr>
        <w:rPr>
          <w:rFonts w:ascii="Arial" w:hAnsi="Arial" w:cs="Arial"/>
          <w:b/>
          <w:sz w:val="22"/>
          <w:szCs w:val="22"/>
        </w:rPr>
      </w:pPr>
    </w:p>
    <w:p w14:paraId="61B588F4" w14:textId="77777777" w:rsidR="007E7D6D" w:rsidRDefault="007E7D6D" w:rsidP="007E7D6D">
      <w:pPr>
        <w:rPr>
          <w:rFonts w:ascii="Arial" w:hAnsi="Arial" w:cs="Arial"/>
          <w:b/>
          <w:sz w:val="22"/>
          <w:szCs w:val="22"/>
        </w:rPr>
      </w:pPr>
    </w:p>
    <w:p w14:paraId="0C53DB40" w14:textId="77777777" w:rsidR="007E7D6D" w:rsidRDefault="007E7D6D" w:rsidP="007E7D6D">
      <w:pPr>
        <w:rPr>
          <w:rFonts w:ascii="Arial" w:hAnsi="Arial" w:cs="Arial"/>
          <w:b/>
          <w:sz w:val="22"/>
          <w:szCs w:val="22"/>
        </w:rPr>
      </w:pPr>
    </w:p>
    <w:p w14:paraId="080EDB3A" w14:textId="77777777" w:rsidR="007E7D6D" w:rsidRDefault="007E7D6D" w:rsidP="007E7D6D">
      <w:pPr>
        <w:rPr>
          <w:rFonts w:ascii="Arial" w:hAnsi="Arial" w:cs="Arial"/>
          <w:b/>
          <w:sz w:val="22"/>
          <w:szCs w:val="22"/>
        </w:rPr>
      </w:pPr>
    </w:p>
    <w:p w14:paraId="3CFD03A8" w14:textId="77777777" w:rsidR="007E7D6D" w:rsidRDefault="007E7D6D" w:rsidP="007E7D6D">
      <w:pPr>
        <w:rPr>
          <w:rFonts w:ascii="Arial" w:hAnsi="Arial" w:cs="Arial"/>
          <w:b/>
          <w:sz w:val="22"/>
          <w:szCs w:val="22"/>
        </w:rPr>
      </w:pPr>
    </w:p>
    <w:p w14:paraId="518217BA" w14:textId="77777777" w:rsidR="007E7D6D" w:rsidRDefault="007E7D6D" w:rsidP="007E7D6D">
      <w:pPr>
        <w:rPr>
          <w:rFonts w:ascii="Arial" w:hAnsi="Arial" w:cs="Arial"/>
          <w:b/>
          <w:sz w:val="22"/>
          <w:szCs w:val="22"/>
        </w:rPr>
      </w:pPr>
    </w:p>
    <w:p w14:paraId="06D5104B" w14:textId="77777777" w:rsidR="007E7D6D" w:rsidRDefault="007E7D6D" w:rsidP="007E7D6D">
      <w:pPr>
        <w:rPr>
          <w:rFonts w:ascii="Arial" w:hAnsi="Arial" w:cs="Arial"/>
          <w:b/>
          <w:sz w:val="22"/>
          <w:szCs w:val="22"/>
        </w:rPr>
      </w:pPr>
    </w:p>
    <w:p w14:paraId="36DEB8EE" w14:textId="77777777" w:rsidR="007E7D6D" w:rsidRDefault="007E7D6D" w:rsidP="007E7D6D">
      <w:pPr>
        <w:rPr>
          <w:rFonts w:ascii="Arial" w:hAnsi="Arial" w:cs="Arial"/>
          <w:b/>
          <w:sz w:val="22"/>
          <w:szCs w:val="22"/>
        </w:rPr>
      </w:pPr>
    </w:p>
    <w:p w14:paraId="19695855" w14:textId="77777777" w:rsidR="007E7D6D" w:rsidRDefault="007E7D6D" w:rsidP="007E7D6D">
      <w:pPr>
        <w:rPr>
          <w:rFonts w:ascii="Arial" w:hAnsi="Arial" w:cs="Arial"/>
          <w:b/>
          <w:sz w:val="22"/>
          <w:szCs w:val="22"/>
        </w:rPr>
      </w:pPr>
    </w:p>
    <w:p w14:paraId="796E6E7F" w14:textId="77777777" w:rsidR="007E7D6D" w:rsidRDefault="007E7D6D" w:rsidP="007E7D6D">
      <w:pPr>
        <w:rPr>
          <w:rFonts w:ascii="Arial" w:hAnsi="Arial" w:cs="Arial"/>
          <w:b/>
          <w:sz w:val="22"/>
          <w:szCs w:val="22"/>
        </w:rPr>
      </w:pPr>
    </w:p>
    <w:p w14:paraId="1C91F221" w14:textId="77777777" w:rsidR="007E7D6D" w:rsidRDefault="007E7D6D" w:rsidP="007E7D6D">
      <w:pPr>
        <w:rPr>
          <w:rFonts w:ascii="Arial" w:hAnsi="Arial" w:cs="Arial"/>
          <w:b/>
          <w:sz w:val="22"/>
          <w:szCs w:val="22"/>
        </w:rPr>
      </w:pPr>
    </w:p>
    <w:p w14:paraId="2602965C" w14:textId="77777777" w:rsidR="007E7D6D" w:rsidRDefault="007E7D6D" w:rsidP="007E7D6D">
      <w:pPr>
        <w:rPr>
          <w:rFonts w:ascii="Arial" w:hAnsi="Arial" w:cs="Arial"/>
          <w:b/>
          <w:sz w:val="22"/>
          <w:szCs w:val="22"/>
        </w:rPr>
      </w:pPr>
    </w:p>
    <w:p w14:paraId="4C4F0E01" w14:textId="77777777" w:rsidR="007E7D6D" w:rsidRDefault="007E7D6D" w:rsidP="007E7D6D">
      <w:pPr>
        <w:rPr>
          <w:rFonts w:ascii="Arial" w:hAnsi="Arial" w:cs="Arial"/>
          <w:b/>
          <w:sz w:val="22"/>
          <w:szCs w:val="22"/>
        </w:rPr>
      </w:pPr>
    </w:p>
    <w:p w14:paraId="0FD91A40" w14:textId="77777777" w:rsidR="007E7D6D" w:rsidRDefault="007E7D6D" w:rsidP="007E7D6D">
      <w:pPr>
        <w:rPr>
          <w:rFonts w:ascii="Arial" w:hAnsi="Arial" w:cs="Arial"/>
          <w:b/>
          <w:sz w:val="22"/>
          <w:szCs w:val="22"/>
        </w:rPr>
      </w:pPr>
    </w:p>
    <w:p w14:paraId="16D0D395" w14:textId="77777777" w:rsidR="007E7D6D" w:rsidRDefault="007E7D6D" w:rsidP="007E7D6D">
      <w:pPr>
        <w:rPr>
          <w:rFonts w:ascii="Arial" w:hAnsi="Arial" w:cs="Arial"/>
          <w:b/>
          <w:sz w:val="22"/>
          <w:szCs w:val="22"/>
        </w:rPr>
      </w:pPr>
    </w:p>
    <w:p w14:paraId="2DB83591" w14:textId="77777777" w:rsidR="007E7D6D" w:rsidRDefault="007E7D6D" w:rsidP="007E7D6D">
      <w:pPr>
        <w:rPr>
          <w:rFonts w:ascii="Arial" w:hAnsi="Arial" w:cs="Arial"/>
          <w:b/>
          <w:sz w:val="22"/>
          <w:szCs w:val="22"/>
        </w:rPr>
      </w:pPr>
    </w:p>
    <w:p w14:paraId="0EEBC914" w14:textId="77777777" w:rsidR="007E7D6D" w:rsidRDefault="007E7D6D" w:rsidP="007E7D6D">
      <w:pPr>
        <w:rPr>
          <w:rFonts w:ascii="Arial" w:hAnsi="Arial" w:cs="Arial"/>
          <w:b/>
          <w:sz w:val="22"/>
          <w:szCs w:val="22"/>
        </w:rPr>
      </w:pPr>
    </w:p>
    <w:p w14:paraId="423F70FD" w14:textId="77777777" w:rsidR="00452899" w:rsidRDefault="00452899" w:rsidP="007E7D6D">
      <w:pPr>
        <w:rPr>
          <w:rFonts w:ascii="Arial" w:hAnsi="Arial" w:cs="Arial"/>
          <w:b/>
          <w:sz w:val="22"/>
          <w:szCs w:val="22"/>
        </w:rPr>
      </w:pPr>
    </w:p>
    <w:p w14:paraId="23FE59FC" w14:textId="77777777" w:rsidR="00452899" w:rsidRDefault="00452899" w:rsidP="007E7D6D">
      <w:pPr>
        <w:rPr>
          <w:rFonts w:ascii="Arial" w:hAnsi="Arial" w:cs="Arial"/>
          <w:b/>
          <w:sz w:val="22"/>
          <w:szCs w:val="22"/>
        </w:rPr>
      </w:pPr>
    </w:p>
    <w:p w14:paraId="173E4B69" w14:textId="77777777" w:rsidR="007E7D6D" w:rsidRDefault="007E7D6D" w:rsidP="007E7D6D">
      <w:pPr>
        <w:rPr>
          <w:rFonts w:ascii="Arial" w:hAnsi="Arial" w:cs="Arial"/>
          <w:b/>
          <w:sz w:val="22"/>
          <w:szCs w:val="22"/>
        </w:rPr>
      </w:pPr>
      <w:r>
        <w:rPr>
          <w:rFonts w:ascii="Arial" w:hAnsi="Arial" w:cs="Arial"/>
          <w:b/>
          <w:sz w:val="22"/>
          <w:szCs w:val="22"/>
        </w:rPr>
        <w:t>Figure 1 – RAND Algorithm</w:t>
      </w:r>
    </w:p>
    <w:p w14:paraId="4BDFAD1F" w14:textId="77777777" w:rsidR="007E7D6D" w:rsidRDefault="007E7D6D" w:rsidP="007E7D6D">
      <w:pPr>
        <w:rPr>
          <w:rFonts w:ascii="Arial" w:hAnsi="Arial" w:cs="Arial"/>
          <w:b/>
          <w:sz w:val="22"/>
          <w:szCs w:val="22"/>
        </w:rPr>
      </w:pPr>
    </w:p>
    <w:p w14:paraId="5280C4E6" w14:textId="0C8C17AA" w:rsidR="007E7D6D" w:rsidRDefault="00452899" w:rsidP="007E7D6D">
      <w:pPr>
        <w:rPr>
          <w:rFonts w:ascii="Arial" w:hAnsi="Arial" w:cs="Arial"/>
          <w:b/>
          <w:sz w:val="22"/>
          <w:szCs w:val="22"/>
        </w:rPr>
      </w:pPr>
      <w:r w:rsidRPr="00B7329C">
        <w:rPr>
          <w:rFonts w:ascii="Arial" w:hAnsi="Arial" w:cs="Arial"/>
          <w:b/>
          <w:noProof/>
          <w:sz w:val="22"/>
          <w:szCs w:val="22"/>
        </w:rPr>
        <w:drawing>
          <wp:inline distT="0" distB="0" distL="0" distR="0" wp14:anchorId="1CF7906B" wp14:editId="63EE4352">
            <wp:extent cx="6618709" cy="5201202"/>
            <wp:effectExtent l="0" t="0" r="10795" b="6350"/>
            <wp:docPr id="2" name="Picture 2" descr="Screen%20Shot%202017-10-05%20at%201.44.10%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0-05%20at%201.44.10%20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3557" cy="5205011"/>
                    </a:xfrm>
                    <a:prstGeom prst="rect">
                      <a:avLst/>
                    </a:prstGeom>
                    <a:noFill/>
                    <a:ln>
                      <a:noFill/>
                    </a:ln>
                  </pic:spPr>
                </pic:pic>
              </a:graphicData>
            </a:graphic>
          </wp:inline>
        </w:drawing>
      </w:r>
    </w:p>
    <w:p w14:paraId="46C22813" w14:textId="068DD019" w:rsidR="007E7D6D" w:rsidRDefault="007E7D6D" w:rsidP="007E7D6D">
      <w:pPr>
        <w:rPr>
          <w:rFonts w:ascii="Arial" w:hAnsi="Arial" w:cs="Arial"/>
          <w:b/>
          <w:sz w:val="22"/>
          <w:szCs w:val="22"/>
        </w:rPr>
      </w:pPr>
    </w:p>
    <w:p w14:paraId="7749BF98" w14:textId="77777777" w:rsidR="007F28B6" w:rsidRDefault="007F28B6" w:rsidP="007B3893">
      <w:pPr>
        <w:rPr>
          <w:rFonts w:ascii="Arial" w:hAnsi="Arial" w:cs="Arial"/>
          <w:b/>
          <w:sz w:val="22"/>
          <w:szCs w:val="22"/>
        </w:rPr>
      </w:pPr>
    </w:p>
    <w:p w14:paraId="28035DEE" w14:textId="77777777" w:rsidR="00197708" w:rsidRDefault="00197708" w:rsidP="00197708">
      <w:pPr>
        <w:rPr>
          <w:rFonts w:ascii="Arial" w:hAnsi="Arial" w:cs="Arial"/>
          <w:b/>
          <w:sz w:val="22"/>
          <w:szCs w:val="22"/>
        </w:rPr>
      </w:pPr>
    </w:p>
    <w:p w14:paraId="24372CDC" w14:textId="154F288E" w:rsidR="00197708" w:rsidRDefault="00197708" w:rsidP="00197708">
      <w:pPr>
        <w:rPr>
          <w:rFonts w:ascii="Arial" w:hAnsi="Arial" w:cs="Arial"/>
          <w:b/>
          <w:sz w:val="22"/>
          <w:szCs w:val="22"/>
        </w:rPr>
      </w:pPr>
      <w:r>
        <w:rPr>
          <w:rFonts w:ascii="Arial" w:hAnsi="Arial" w:cs="Arial"/>
          <w:b/>
          <w:sz w:val="22"/>
          <w:szCs w:val="22"/>
        </w:rPr>
        <w:t xml:space="preserve">Table </w:t>
      </w:r>
      <w:r w:rsidR="00465C5B">
        <w:rPr>
          <w:rFonts w:ascii="Arial" w:hAnsi="Arial" w:cs="Arial"/>
          <w:b/>
          <w:sz w:val="22"/>
          <w:szCs w:val="22"/>
        </w:rPr>
        <w:t>1</w:t>
      </w:r>
      <w:r>
        <w:rPr>
          <w:rFonts w:ascii="Arial" w:hAnsi="Arial" w:cs="Arial"/>
          <w:b/>
          <w:sz w:val="22"/>
          <w:szCs w:val="22"/>
        </w:rPr>
        <w:t xml:space="preserve"> – Definitions of Levels of Consensus</w:t>
      </w:r>
    </w:p>
    <w:p w14:paraId="73C0ACA4" w14:textId="77777777" w:rsidR="00197708" w:rsidRDefault="00197708" w:rsidP="00197708">
      <w:pPr>
        <w:rPr>
          <w:rFonts w:ascii="Arial" w:hAnsi="Arial" w:cs="Arial"/>
          <w:b/>
          <w:sz w:val="22"/>
          <w:szCs w:val="22"/>
        </w:rPr>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715"/>
        <w:gridCol w:w="8100"/>
      </w:tblGrid>
      <w:tr w:rsidR="00197708" w:rsidRPr="00B90A99" w14:paraId="43A81EC9" w14:textId="77777777" w:rsidTr="00197708">
        <w:trPr>
          <w:trHeight w:val="20"/>
        </w:trPr>
        <w:tc>
          <w:tcPr>
            <w:tcW w:w="2715" w:type="dxa"/>
            <w:shd w:val="clear" w:color="auto" w:fill="auto"/>
            <w:tcMar>
              <w:top w:w="15" w:type="dxa"/>
              <w:left w:w="15" w:type="dxa"/>
              <w:bottom w:w="0" w:type="dxa"/>
              <w:right w:w="15" w:type="dxa"/>
            </w:tcMar>
            <w:vAlign w:val="bottom"/>
            <w:hideMark/>
          </w:tcPr>
          <w:p w14:paraId="41ABFCAD" w14:textId="77777777" w:rsidR="00197708" w:rsidRPr="00737A2C" w:rsidRDefault="00197708" w:rsidP="00197708">
            <w:pPr>
              <w:rPr>
                <w:rFonts w:ascii="Arial" w:hAnsi="Arial" w:cs="Arial"/>
                <w:b/>
                <w:bCs/>
                <w:sz w:val="22"/>
                <w:szCs w:val="22"/>
              </w:rPr>
            </w:pPr>
            <w:r w:rsidRPr="00B90A99">
              <w:rPr>
                <w:rFonts w:ascii="Arial" w:hAnsi="Arial" w:cs="Arial"/>
                <w:b/>
                <w:bCs/>
                <w:sz w:val="22"/>
                <w:szCs w:val="22"/>
              </w:rPr>
              <w:t>Term</w:t>
            </w:r>
          </w:p>
        </w:tc>
        <w:tc>
          <w:tcPr>
            <w:tcW w:w="8100" w:type="dxa"/>
            <w:shd w:val="clear" w:color="auto" w:fill="auto"/>
            <w:tcMar>
              <w:top w:w="15" w:type="dxa"/>
              <w:left w:w="15" w:type="dxa"/>
              <w:bottom w:w="0" w:type="dxa"/>
              <w:right w:w="15" w:type="dxa"/>
            </w:tcMar>
            <w:vAlign w:val="bottom"/>
            <w:hideMark/>
          </w:tcPr>
          <w:p w14:paraId="7E093E4D" w14:textId="77777777" w:rsidR="00197708" w:rsidRPr="00737A2C" w:rsidRDefault="00197708" w:rsidP="00197708">
            <w:pPr>
              <w:rPr>
                <w:rFonts w:ascii="Arial" w:hAnsi="Arial" w:cs="Arial"/>
                <w:b/>
                <w:bCs/>
                <w:sz w:val="22"/>
                <w:szCs w:val="22"/>
              </w:rPr>
            </w:pPr>
            <w:r w:rsidRPr="00B90A99">
              <w:rPr>
                <w:rFonts w:ascii="Arial" w:hAnsi="Arial" w:cs="Arial"/>
                <w:b/>
                <w:bCs/>
                <w:sz w:val="22"/>
                <w:szCs w:val="22"/>
              </w:rPr>
              <w:t>Definition</w:t>
            </w:r>
          </w:p>
        </w:tc>
      </w:tr>
      <w:tr w:rsidR="00197708" w:rsidRPr="00B90A99" w14:paraId="45DD9FCD" w14:textId="77777777" w:rsidTr="00197708">
        <w:trPr>
          <w:trHeight w:val="20"/>
        </w:trPr>
        <w:tc>
          <w:tcPr>
            <w:tcW w:w="2715" w:type="dxa"/>
            <w:shd w:val="clear" w:color="auto" w:fill="auto"/>
            <w:tcMar>
              <w:top w:w="15" w:type="dxa"/>
              <w:left w:w="15" w:type="dxa"/>
              <w:bottom w:w="0" w:type="dxa"/>
              <w:right w:w="15" w:type="dxa"/>
            </w:tcMar>
            <w:vAlign w:val="bottom"/>
            <w:hideMark/>
          </w:tcPr>
          <w:p w14:paraId="23B1E6F4" w14:textId="77777777" w:rsidR="00197708" w:rsidRPr="00B90A99" w:rsidRDefault="00197708" w:rsidP="00197708">
            <w:pPr>
              <w:rPr>
                <w:rFonts w:ascii="Arial" w:hAnsi="Arial" w:cs="Arial"/>
                <w:b/>
                <w:sz w:val="22"/>
                <w:szCs w:val="22"/>
              </w:rPr>
            </w:pPr>
            <w:r w:rsidRPr="00B90A99">
              <w:rPr>
                <w:rFonts w:ascii="Arial" w:hAnsi="Arial" w:cs="Arial"/>
                <w:b/>
                <w:bCs/>
                <w:sz w:val="22"/>
                <w:szCs w:val="22"/>
              </w:rPr>
              <w:t>Perfect consensus</w:t>
            </w:r>
          </w:p>
        </w:tc>
        <w:tc>
          <w:tcPr>
            <w:tcW w:w="8100" w:type="dxa"/>
            <w:shd w:val="clear" w:color="auto" w:fill="auto"/>
            <w:tcMar>
              <w:top w:w="15" w:type="dxa"/>
              <w:left w:w="15" w:type="dxa"/>
              <w:bottom w:w="0" w:type="dxa"/>
              <w:right w:w="15" w:type="dxa"/>
            </w:tcMar>
            <w:vAlign w:val="bottom"/>
            <w:hideMark/>
          </w:tcPr>
          <w:p w14:paraId="7AF5E1A0" w14:textId="77777777" w:rsidR="00197708" w:rsidRPr="00B90A99" w:rsidRDefault="00197708" w:rsidP="00197708">
            <w:pPr>
              <w:rPr>
                <w:rFonts w:ascii="Arial" w:hAnsi="Arial" w:cs="Arial"/>
                <w:sz w:val="22"/>
                <w:szCs w:val="22"/>
              </w:rPr>
            </w:pPr>
            <w:r w:rsidRPr="00B90A99">
              <w:rPr>
                <w:rFonts w:ascii="Arial" w:hAnsi="Arial" w:cs="Arial"/>
                <w:bCs/>
                <w:sz w:val="22"/>
                <w:szCs w:val="22"/>
              </w:rPr>
              <w:t>All respondents agree on one number between 7-9</w:t>
            </w:r>
          </w:p>
        </w:tc>
      </w:tr>
      <w:tr w:rsidR="00197708" w:rsidRPr="00B90A99" w14:paraId="57A37A76" w14:textId="77777777" w:rsidTr="00197708">
        <w:trPr>
          <w:trHeight w:val="20"/>
        </w:trPr>
        <w:tc>
          <w:tcPr>
            <w:tcW w:w="2715" w:type="dxa"/>
            <w:shd w:val="clear" w:color="auto" w:fill="auto"/>
            <w:tcMar>
              <w:top w:w="15" w:type="dxa"/>
              <w:left w:w="15" w:type="dxa"/>
              <w:bottom w:w="0" w:type="dxa"/>
              <w:right w:w="15" w:type="dxa"/>
            </w:tcMar>
            <w:vAlign w:val="bottom"/>
            <w:hideMark/>
          </w:tcPr>
          <w:p w14:paraId="62484BDE" w14:textId="77777777" w:rsidR="00197708" w:rsidRPr="00B90A99" w:rsidRDefault="00197708" w:rsidP="00197708">
            <w:pPr>
              <w:rPr>
                <w:rFonts w:ascii="Arial" w:hAnsi="Arial" w:cs="Arial"/>
                <w:b/>
                <w:sz w:val="22"/>
                <w:szCs w:val="22"/>
              </w:rPr>
            </w:pPr>
            <w:r w:rsidRPr="00B90A99">
              <w:rPr>
                <w:rFonts w:ascii="Arial" w:hAnsi="Arial" w:cs="Arial"/>
                <w:b/>
                <w:bCs/>
                <w:sz w:val="22"/>
                <w:szCs w:val="22"/>
              </w:rPr>
              <w:t>Very good consensus</w:t>
            </w:r>
          </w:p>
        </w:tc>
        <w:tc>
          <w:tcPr>
            <w:tcW w:w="8100" w:type="dxa"/>
            <w:shd w:val="clear" w:color="auto" w:fill="auto"/>
            <w:tcMar>
              <w:top w:w="15" w:type="dxa"/>
              <w:left w:w="15" w:type="dxa"/>
              <w:bottom w:w="0" w:type="dxa"/>
              <w:right w:w="15" w:type="dxa"/>
            </w:tcMar>
            <w:vAlign w:val="bottom"/>
            <w:hideMark/>
          </w:tcPr>
          <w:p w14:paraId="0A938008" w14:textId="77777777" w:rsidR="00197708" w:rsidRPr="00B90A99" w:rsidRDefault="00197708" w:rsidP="00197708">
            <w:pPr>
              <w:rPr>
                <w:rFonts w:ascii="Arial" w:hAnsi="Arial" w:cs="Arial"/>
                <w:sz w:val="22"/>
                <w:szCs w:val="22"/>
              </w:rPr>
            </w:pPr>
            <w:r w:rsidRPr="00B90A99">
              <w:rPr>
                <w:rFonts w:ascii="Arial" w:hAnsi="Arial" w:cs="Arial"/>
                <w:bCs/>
                <w:sz w:val="22"/>
                <w:szCs w:val="22"/>
              </w:rPr>
              <w:t>Median and middle 50% (interquartile range) of respondents are found at one integer (</w:t>
            </w:r>
            <w:r w:rsidRPr="00B90A99">
              <w:rPr>
                <w:rFonts w:ascii="Arial" w:hAnsi="Arial" w:cs="Arial"/>
                <w:bCs/>
                <w:i/>
                <w:iCs/>
                <w:sz w:val="22"/>
                <w:szCs w:val="22"/>
              </w:rPr>
              <w:t>e.g.</w:t>
            </w:r>
            <w:r w:rsidRPr="00B90A99">
              <w:rPr>
                <w:rFonts w:ascii="Arial" w:hAnsi="Arial" w:cs="Arial"/>
                <w:bCs/>
                <w:sz w:val="22"/>
                <w:szCs w:val="22"/>
              </w:rPr>
              <w:t>, median and interquartile range are both at 8) or 80% of respondents are within one integer of the median (</w:t>
            </w:r>
            <w:r w:rsidRPr="00B90A99">
              <w:rPr>
                <w:rFonts w:ascii="Arial" w:hAnsi="Arial" w:cs="Arial"/>
                <w:bCs/>
                <w:i/>
                <w:iCs/>
                <w:sz w:val="22"/>
                <w:szCs w:val="22"/>
              </w:rPr>
              <w:t>e.g.</w:t>
            </w:r>
            <w:r w:rsidRPr="00B90A99">
              <w:rPr>
                <w:rFonts w:ascii="Arial" w:hAnsi="Arial" w:cs="Arial"/>
                <w:bCs/>
                <w:sz w:val="22"/>
                <w:szCs w:val="22"/>
              </w:rPr>
              <w:t xml:space="preserve">, median is 8, 80% respondents are from 7 to 9) </w:t>
            </w:r>
          </w:p>
        </w:tc>
      </w:tr>
      <w:tr w:rsidR="00197708" w:rsidRPr="00B90A99" w14:paraId="2304C1DC" w14:textId="77777777" w:rsidTr="00197708">
        <w:trPr>
          <w:trHeight w:val="20"/>
        </w:trPr>
        <w:tc>
          <w:tcPr>
            <w:tcW w:w="2715" w:type="dxa"/>
            <w:shd w:val="clear" w:color="auto" w:fill="auto"/>
            <w:tcMar>
              <w:top w:w="15" w:type="dxa"/>
              <w:left w:w="15" w:type="dxa"/>
              <w:bottom w:w="0" w:type="dxa"/>
              <w:right w:w="15" w:type="dxa"/>
            </w:tcMar>
            <w:vAlign w:val="bottom"/>
            <w:hideMark/>
          </w:tcPr>
          <w:p w14:paraId="359DEC9D" w14:textId="77777777" w:rsidR="00197708" w:rsidRPr="00B90A99" w:rsidRDefault="00197708" w:rsidP="00197708">
            <w:pPr>
              <w:rPr>
                <w:rFonts w:ascii="Arial" w:hAnsi="Arial" w:cs="Arial"/>
                <w:b/>
                <w:sz w:val="22"/>
                <w:szCs w:val="22"/>
              </w:rPr>
            </w:pPr>
            <w:r w:rsidRPr="00B90A99">
              <w:rPr>
                <w:rFonts w:ascii="Arial" w:hAnsi="Arial" w:cs="Arial"/>
                <w:b/>
                <w:bCs/>
                <w:sz w:val="22"/>
                <w:szCs w:val="22"/>
              </w:rPr>
              <w:t>Good consensus</w:t>
            </w:r>
          </w:p>
        </w:tc>
        <w:tc>
          <w:tcPr>
            <w:tcW w:w="8100" w:type="dxa"/>
            <w:shd w:val="clear" w:color="auto" w:fill="auto"/>
            <w:tcMar>
              <w:top w:w="15" w:type="dxa"/>
              <w:left w:w="15" w:type="dxa"/>
              <w:bottom w:w="0" w:type="dxa"/>
              <w:right w:w="15" w:type="dxa"/>
            </w:tcMar>
            <w:vAlign w:val="bottom"/>
            <w:hideMark/>
          </w:tcPr>
          <w:p w14:paraId="068B2485" w14:textId="77777777" w:rsidR="00197708" w:rsidRPr="00B90A99" w:rsidRDefault="00197708" w:rsidP="00197708">
            <w:pPr>
              <w:rPr>
                <w:rFonts w:ascii="Arial" w:hAnsi="Arial" w:cs="Arial"/>
                <w:sz w:val="22"/>
                <w:szCs w:val="22"/>
              </w:rPr>
            </w:pPr>
            <w:r w:rsidRPr="00B90A99">
              <w:rPr>
                <w:rFonts w:ascii="Arial" w:hAnsi="Arial" w:cs="Arial"/>
                <w:bCs/>
                <w:sz w:val="22"/>
                <w:szCs w:val="22"/>
              </w:rPr>
              <w:t>50% of respondents are within one integer of the median (</w:t>
            </w:r>
            <w:r w:rsidRPr="00B90A99">
              <w:rPr>
                <w:rFonts w:ascii="Arial" w:hAnsi="Arial" w:cs="Arial"/>
                <w:bCs/>
                <w:i/>
                <w:iCs/>
                <w:sz w:val="22"/>
                <w:szCs w:val="22"/>
              </w:rPr>
              <w:t>e.g.</w:t>
            </w:r>
            <w:r w:rsidRPr="00B90A99">
              <w:rPr>
                <w:rFonts w:ascii="Arial" w:hAnsi="Arial" w:cs="Arial"/>
                <w:bCs/>
                <w:sz w:val="22"/>
                <w:szCs w:val="22"/>
              </w:rPr>
              <w:t>, median is 8, 50% of respondents are from 7 to 9) or 80% of the respondents are within two integers of the median (</w:t>
            </w:r>
            <w:r w:rsidRPr="00B90A99">
              <w:rPr>
                <w:rFonts w:ascii="Arial" w:hAnsi="Arial" w:cs="Arial"/>
                <w:bCs/>
                <w:i/>
                <w:iCs/>
                <w:sz w:val="22"/>
                <w:szCs w:val="22"/>
              </w:rPr>
              <w:t>e.g.</w:t>
            </w:r>
            <w:r w:rsidRPr="00B90A99">
              <w:rPr>
                <w:rFonts w:ascii="Arial" w:hAnsi="Arial" w:cs="Arial"/>
                <w:bCs/>
                <w:sz w:val="22"/>
                <w:szCs w:val="22"/>
              </w:rPr>
              <w:t xml:space="preserve">, median is 7, 80% of respondents are from 5 to 9). </w:t>
            </w:r>
          </w:p>
        </w:tc>
      </w:tr>
      <w:tr w:rsidR="00197708" w:rsidRPr="00B90A99" w14:paraId="209AD136" w14:textId="77777777" w:rsidTr="00197708">
        <w:trPr>
          <w:trHeight w:val="20"/>
        </w:trPr>
        <w:tc>
          <w:tcPr>
            <w:tcW w:w="2715" w:type="dxa"/>
            <w:shd w:val="clear" w:color="auto" w:fill="auto"/>
            <w:tcMar>
              <w:top w:w="15" w:type="dxa"/>
              <w:left w:w="15" w:type="dxa"/>
              <w:bottom w:w="0" w:type="dxa"/>
              <w:right w:w="15" w:type="dxa"/>
            </w:tcMar>
            <w:vAlign w:val="bottom"/>
            <w:hideMark/>
          </w:tcPr>
          <w:p w14:paraId="088DC99A" w14:textId="77777777" w:rsidR="00197708" w:rsidRPr="00B90A99" w:rsidRDefault="00197708" w:rsidP="00197708">
            <w:pPr>
              <w:rPr>
                <w:rFonts w:ascii="Arial" w:hAnsi="Arial" w:cs="Arial"/>
                <w:b/>
                <w:sz w:val="22"/>
                <w:szCs w:val="22"/>
              </w:rPr>
            </w:pPr>
            <w:r w:rsidRPr="00B90A99">
              <w:rPr>
                <w:rFonts w:ascii="Arial" w:hAnsi="Arial" w:cs="Arial"/>
                <w:b/>
                <w:bCs/>
                <w:sz w:val="22"/>
                <w:szCs w:val="22"/>
              </w:rPr>
              <w:t>Some consensus</w:t>
            </w:r>
          </w:p>
        </w:tc>
        <w:tc>
          <w:tcPr>
            <w:tcW w:w="8100" w:type="dxa"/>
            <w:shd w:val="clear" w:color="auto" w:fill="auto"/>
            <w:tcMar>
              <w:top w:w="15" w:type="dxa"/>
              <w:left w:w="15" w:type="dxa"/>
              <w:bottom w:w="0" w:type="dxa"/>
              <w:right w:w="15" w:type="dxa"/>
            </w:tcMar>
            <w:vAlign w:val="bottom"/>
            <w:hideMark/>
          </w:tcPr>
          <w:p w14:paraId="427BC0A8" w14:textId="77777777" w:rsidR="00197708" w:rsidRPr="00B90A99" w:rsidRDefault="00197708" w:rsidP="00197708">
            <w:pPr>
              <w:rPr>
                <w:rFonts w:ascii="Arial" w:hAnsi="Arial" w:cs="Arial"/>
                <w:sz w:val="22"/>
                <w:szCs w:val="22"/>
              </w:rPr>
            </w:pPr>
            <w:r w:rsidRPr="00B90A99">
              <w:rPr>
                <w:rFonts w:ascii="Arial" w:hAnsi="Arial" w:cs="Arial"/>
                <w:bCs/>
                <w:sz w:val="22"/>
                <w:szCs w:val="22"/>
              </w:rPr>
              <w:t>50% or respondents are within two integers of the median (</w:t>
            </w:r>
            <w:r w:rsidRPr="00B90A99">
              <w:rPr>
                <w:rFonts w:ascii="Arial" w:hAnsi="Arial" w:cs="Arial"/>
                <w:bCs/>
                <w:i/>
                <w:iCs/>
                <w:sz w:val="22"/>
                <w:szCs w:val="22"/>
              </w:rPr>
              <w:t>e.g.</w:t>
            </w:r>
            <w:r w:rsidRPr="00B90A99">
              <w:rPr>
                <w:rFonts w:ascii="Arial" w:hAnsi="Arial" w:cs="Arial"/>
                <w:bCs/>
                <w:sz w:val="22"/>
                <w:szCs w:val="22"/>
              </w:rPr>
              <w:t>, median is 7, 50% of respondents are from 5 to 9) or 80% of respondents are within three integers of the median (</w:t>
            </w:r>
            <w:r w:rsidRPr="00B90A99">
              <w:rPr>
                <w:rFonts w:ascii="Arial" w:hAnsi="Arial" w:cs="Arial"/>
                <w:bCs/>
                <w:i/>
                <w:iCs/>
                <w:sz w:val="22"/>
                <w:szCs w:val="22"/>
              </w:rPr>
              <w:t>e.g.</w:t>
            </w:r>
            <w:r w:rsidRPr="00B90A99">
              <w:rPr>
                <w:rFonts w:ascii="Arial" w:hAnsi="Arial" w:cs="Arial"/>
                <w:bCs/>
                <w:sz w:val="22"/>
                <w:szCs w:val="22"/>
              </w:rPr>
              <w:t xml:space="preserve">, median is 6, 80% of respondents are from 3 to 9). </w:t>
            </w:r>
          </w:p>
        </w:tc>
      </w:tr>
      <w:tr w:rsidR="00197708" w:rsidRPr="00B90A99" w14:paraId="09819204" w14:textId="77777777" w:rsidTr="00197708">
        <w:trPr>
          <w:trHeight w:val="20"/>
        </w:trPr>
        <w:tc>
          <w:tcPr>
            <w:tcW w:w="2715" w:type="dxa"/>
            <w:shd w:val="clear" w:color="auto" w:fill="auto"/>
            <w:tcMar>
              <w:top w:w="15" w:type="dxa"/>
              <w:left w:w="15" w:type="dxa"/>
              <w:bottom w:w="0" w:type="dxa"/>
              <w:right w:w="15" w:type="dxa"/>
            </w:tcMar>
            <w:vAlign w:val="bottom"/>
            <w:hideMark/>
          </w:tcPr>
          <w:p w14:paraId="6E58D8D6" w14:textId="77777777" w:rsidR="00197708" w:rsidRPr="00B90A99" w:rsidRDefault="00197708" w:rsidP="00197708">
            <w:pPr>
              <w:rPr>
                <w:rFonts w:ascii="Arial" w:hAnsi="Arial" w:cs="Arial"/>
                <w:b/>
                <w:sz w:val="22"/>
                <w:szCs w:val="22"/>
              </w:rPr>
            </w:pPr>
            <w:r w:rsidRPr="00B90A99">
              <w:rPr>
                <w:rFonts w:ascii="Arial" w:hAnsi="Arial" w:cs="Arial"/>
                <w:b/>
                <w:bCs/>
                <w:sz w:val="22"/>
                <w:szCs w:val="22"/>
              </w:rPr>
              <w:t>No consensus</w:t>
            </w:r>
          </w:p>
        </w:tc>
        <w:tc>
          <w:tcPr>
            <w:tcW w:w="8100" w:type="dxa"/>
            <w:shd w:val="clear" w:color="auto" w:fill="auto"/>
            <w:tcMar>
              <w:top w:w="15" w:type="dxa"/>
              <w:left w:w="15" w:type="dxa"/>
              <w:bottom w:w="0" w:type="dxa"/>
              <w:right w:w="15" w:type="dxa"/>
            </w:tcMar>
            <w:vAlign w:val="bottom"/>
            <w:hideMark/>
          </w:tcPr>
          <w:p w14:paraId="618369E0" w14:textId="77777777" w:rsidR="00197708" w:rsidRPr="00B90A99" w:rsidRDefault="00197708" w:rsidP="00197708">
            <w:pPr>
              <w:rPr>
                <w:rFonts w:ascii="Arial" w:hAnsi="Arial" w:cs="Arial"/>
                <w:sz w:val="22"/>
                <w:szCs w:val="22"/>
              </w:rPr>
            </w:pPr>
            <w:r w:rsidRPr="00B90A99">
              <w:rPr>
                <w:rFonts w:ascii="Arial" w:hAnsi="Arial" w:cs="Arial"/>
                <w:bCs/>
                <w:sz w:val="22"/>
                <w:szCs w:val="22"/>
              </w:rPr>
              <w:t>All other responses. Any median with disagreement</w:t>
            </w:r>
          </w:p>
        </w:tc>
      </w:tr>
    </w:tbl>
    <w:p w14:paraId="4ACB5C8C" w14:textId="77777777" w:rsidR="00197708" w:rsidRDefault="00197708" w:rsidP="00197708">
      <w:pPr>
        <w:rPr>
          <w:rFonts w:ascii="Arial" w:hAnsi="Arial" w:cs="Arial"/>
          <w:sz w:val="22"/>
          <w:szCs w:val="22"/>
        </w:rPr>
      </w:pPr>
    </w:p>
    <w:p w14:paraId="76AA506E" w14:textId="77777777" w:rsidR="00197708" w:rsidRDefault="00197708" w:rsidP="00197708">
      <w:pPr>
        <w:rPr>
          <w:rFonts w:ascii="Arial" w:hAnsi="Arial" w:cs="Arial"/>
          <w:sz w:val="22"/>
          <w:szCs w:val="22"/>
        </w:rPr>
      </w:pPr>
    </w:p>
    <w:p w14:paraId="35DC9DB2" w14:textId="77777777" w:rsidR="00F02A4F" w:rsidRDefault="00F02A4F" w:rsidP="00197708">
      <w:pPr>
        <w:rPr>
          <w:rFonts w:ascii="Arial" w:hAnsi="Arial" w:cs="Arial"/>
          <w:sz w:val="22"/>
          <w:szCs w:val="22"/>
        </w:rPr>
      </w:pPr>
    </w:p>
    <w:p w14:paraId="6B9A8037" w14:textId="77777777" w:rsidR="00F02A4F" w:rsidRDefault="00F02A4F" w:rsidP="00197708">
      <w:pPr>
        <w:rPr>
          <w:rFonts w:ascii="Arial" w:hAnsi="Arial" w:cs="Arial"/>
          <w:sz w:val="22"/>
          <w:szCs w:val="22"/>
        </w:rPr>
      </w:pPr>
    </w:p>
    <w:p w14:paraId="71736CA5" w14:textId="77777777" w:rsidR="00197708" w:rsidRDefault="00197708" w:rsidP="00197708">
      <w:pPr>
        <w:pStyle w:val="Default"/>
        <w:rPr>
          <w:rFonts w:ascii="Arial" w:hAnsi="Arial" w:cs="Arial"/>
          <w:b/>
          <w:sz w:val="22"/>
          <w:szCs w:val="22"/>
        </w:rPr>
      </w:pPr>
    </w:p>
    <w:p w14:paraId="54F54BCC" w14:textId="18D397E5" w:rsidR="00197708" w:rsidRPr="005749CC" w:rsidRDefault="00197708" w:rsidP="00197708">
      <w:pPr>
        <w:pStyle w:val="Default"/>
        <w:rPr>
          <w:rFonts w:ascii="Arial" w:hAnsi="Arial" w:cs="Arial"/>
          <w:b/>
          <w:bCs/>
          <w:sz w:val="22"/>
          <w:szCs w:val="22"/>
        </w:rPr>
      </w:pPr>
      <w:r w:rsidRPr="003411CE">
        <w:rPr>
          <w:rFonts w:ascii="Arial" w:hAnsi="Arial" w:cs="Arial"/>
          <w:b/>
          <w:sz w:val="22"/>
          <w:szCs w:val="22"/>
        </w:rPr>
        <w:t xml:space="preserve">Table </w:t>
      </w:r>
      <w:r w:rsidR="00465C5B">
        <w:rPr>
          <w:rFonts w:ascii="Arial" w:hAnsi="Arial" w:cs="Arial"/>
          <w:b/>
          <w:sz w:val="22"/>
          <w:szCs w:val="22"/>
        </w:rPr>
        <w:t>2</w:t>
      </w:r>
      <w:r w:rsidRPr="003411CE">
        <w:rPr>
          <w:rFonts w:ascii="Arial" w:hAnsi="Arial" w:cs="Arial"/>
          <w:b/>
          <w:sz w:val="22"/>
          <w:szCs w:val="22"/>
        </w:rPr>
        <w:t xml:space="preserve"> –</w:t>
      </w:r>
      <w:r w:rsidRPr="003411CE">
        <w:rPr>
          <w:rFonts w:ascii="Arial" w:hAnsi="Arial" w:cs="Arial"/>
          <w:b/>
          <w:bCs/>
          <w:sz w:val="22"/>
          <w:szCs w:val="22"/>
        </w:rPr>
        <w:t xml:space="preserve"> Degree of Consensus, Strength of recommendation, and Wording</w:t>
      </w:r>
    </w:p>
    <w:p w14:paraId="6169BB0E" w14:textId="77777777" w:rsidR="00197708" w:rsidRPr="003411CE" w:rsidRDefault="00197708" w:rsidP="00197708">
      <w:pPr>
        <w:rPr>
          <w:rFonts w:ascii="Arial" w:hAnsi="Arial" w:cs="Arial"/>
          <w:sz w:val="22"/>
          <w:szCs w:val="22"/>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700"/>
        <w:gridCol w:w="3150"/>
        <w:gridCol w:w="3914"/>
      </w:tblGrid>
      <w:tr w:rsidR="00197708" w:rsidRPr="00B90A99" w14:paraId="5C55846B" w14:textId="77777777" w:rsidTr="00197708">
        <w:trPr>
          <w:trHeight w:val="20"/>
        </w:trPr>
        <w:tc>
          <w:tcPr>
            <w:tcW w:w="2700" w:type="dxa"/>
            <w:shd w:val="clear" w:color="auto" w:fill="auto"/>
            <w:tcMar>
              <w:top w:w="15" w:type="dxa"/>
              <w:left w:w="108" w:type="dxa"/>
              <w:bottom w:w="0" w:type="dxa"/>
              <w:right w:w="108" w:type="dxa"/>
            </w:tcMar>
            <w:hideMark/>
          </w:tcPr>
          <w:p w14:paraId="303A0225" w14:textId="77777777" w:rsidR="00197708" w:rsidRPr="00B90A99" w:rsidRDefault="00197708" w:rsidP="00197708">
            <w:pPr>
              <w:rPr>
                <w:rFonts w:ascii="Arial" w:hAnsi="Arial" w:cs="Arial"/>
                <w:b/>
                <w:sz w:val="22"/>
                <w:szCs w:val="22"/>
              </w:rPr>
            </w:pPr>
            <w:r w:rsidRPr="00B90A99">
              <w:rPr>
                <w:rFonts w:ascii="Arial" w:hAnsi="Arial" w:cs="Arial"/>
                <w:b/>
                <w:sz w:val="22"/>
                <w:szCs w:val="22"/>
              </w:rPr>
              <w:t>Degree of consensus</w:t>
            </w:r>
          </w:p>
        </w:tc>
        <w:tc>
          <w:tcPr>
            <w:tcW w:w="3150" w:type="dxa"/>
            <w:shd w:val="clear" w:color="auto" w:fill="auto"/>
            <w:tcMar>
              <w:top w:w="15" w:type="dxa"/>
              <w:left w:w="108" w:type="dxa"/>
              <w:bottom w:w="0" w:type="dxa"/>
              <w:right w:w="108" w:type="dxa"/>
            </w:tcMar>
            <w:hideMark/>
          </w:tcPr>
          <w:p w14:paraId="3C711B29" w14:textId="334EC6C2" w:rsidR="00197708" w:rsidRPr="00B90A99" w:rsidRDefault="00B7329C" w:rsidP="00197708">
            <w:pPr>
              <w:rPr>
                <w:rFonts w:ascii="Arial" w:hAnsi="Arial" w:cs="Arial"/>
                <w:b/>
                <w:sz w:val="22"/>
                <w:szCs w:val="22"/>
              </w:rPr>
            </w:pPr>
            <w:r>
              <w:rPr>
                <w:rFonts w:ascii="Arial" w:hAnsi="Arial" w:cs="Arial"/>
                <w:b/>
                <w:sz w:val="22"/>
                <w:szCs w:val="22"/>
              </w:rPr>
              <w:t>Strength</w:t>
            </w:r>
            <w:r w:rsidR="00197708" w:rsidRPr="00B90A99">
              <w:rPr>
                <w:rFonts w:ascii="Arial" w:hAnsi="Arial" w:cs="Arial"/>
                <w:b/>
                <w:sz w:val="22"/>
                <w:szCs w:val="22"/>
              </w:rPr>
              <w:t xml:space="preserve"> of recommendation</w:t>
            </w:r>
          </w:p>
        </w:tc>
        <w:tc>
          <w:tcPr>
            <w:tcW w:w="3914" w:type="dxa"/>
            <w:shd w:val="clear" w:color="auto" w:fill="auto"/>
            <w:tcMar>
              <w:top w:w="15" w:type="dxa"/>
              <w:left w:w="108" w:type="dxa"/>
              <w:bottom w:w="0" w:type="dxa"/>
              <w:right w:w="108" w:type="dxa"/>
            </w:tcMar>
            <w:hideMark/>
          </w:tcPr>
          <w:p w14:paraId="5A2BC5F1" w14:textId="77777777" w:rsidR="00197708" w:rsidRPr="00B90A99" w:rsidRDefault="00197708" w:rsidP="00197708">
            <w:pPr>
              <w:rPr>
                <w:rFonts w:ascii="Arial" w:hAnsi="Arial" w:cs="Arial"/>
                <w:b/>
                <w:sz w:val="22"/>
                <w:szCs w:val="22"/>
              </w:rPr>
            </w:pPr>
            <w:r w:rsidRPr="00B90A99">
              <w:rPr>
                <w:rFonts w:ascii="Arial" w:hAnsi="Arial" w:cs="Arial"/>
                <w:b/>
                <w:sz w:val="22"/>
                <w:szCs w:val="22"/>
              </w:rPr>
              <w:t>Wording [Function of voting]</w:t>
            </w:r>
          </w:p>
        </w:tc>
      </w:tr>
      <w:tr w:rsidR="00197708" w:rsidRPr="00B90A99" w14:paraId="2B3C4DC9" w14:textId="77777777" w:rsidTr="00197708">
        <w:trPr>
          <w:trHeight w:val="20"/>
        </w:trPr>
        <w:tc>
          <w:tcPr>
            <w:tcW w:w="2700" w:type="dxa"/>
            <w:shd w:val="clear" w:color="auto" w:fill="auto"/>
            <w:tcMar>
              <w:top w:w="15" w:type="dxa"/>
              <w:left w:w="108" w:type="dxa"/>
              <w:bottom w:w="0" w:type="dxa"/>
              <w:right w:w="108" w:type="dxa"/>
            </w:tcMar>
            <w:hideMark/>
          </w:tcPr>
          <w:p w14:paraId="57C5DCDA" w14:textId="77777777" w:rsidR="00197708" w:rsidRPr="00B90A99" w:rsidRDefault="00197708" w:rsidP="00197708">
            <w:pPr>
              <w:rPr>
                <w:rFonts w:ascii="Arial" w:hAnsi="Arial" w:cs="Arial"/>
                <w:sz w:val="22"/>
                <w:szCs w:val="22"/>
              </w:rPr>
            </w:pPr>
            <w:r w:rsidRPr="00B90A99">
              <w:rPr>
                <w:rFonts w:ascii="Arial" w:hAnsi="Arial" w:cs="Arial"/>
                <w:sz w:val="22"/>
                <w:szCs w:val="22"/>
              </w:rPr>
              <w:t>Perfect consensus</w:t>
            </w:r>
          </w:p>
        </w:tc>
        <w:tc>
          <w:tcPr>
            <w:tcW w:w="3150" w:type="dxa"/>
            <w:shd w:val="clear" w:color="auto" w:fill="auto"/>
            <w:tcMar>
              <w:top w:w="15" w:type="dxa"/>
              <w:left w:w="108" w:type="dxa"/>
              <w:bottom w:w="0" w:type="dxa"/>
              <w:right w:w="108" w:type="dxa"/>
            </w:tcMar>
            <w:hideMark/>
          </w:tcPr>
          <w:p w14:paraId="5CB68B2F" w14:textId="77777777" w:rsidR="00197708" w:rsidRPr="00B90A99" w:rsidRDefault="00197708" w:rsidP="00197708">
            <w:pPr>
              <w:rPr>
                <w:rFonts w:ascii="Arial" w:hAnsi="Arial" w:cs="Arial"/>
                <w:sz w:val="22"/>
                <w:szCs w:val="22"/>
              </w:rPr>
            </w:pPr>
            <w:r w:rsidRPr="00B90A99">
              <w:rPr>
                <w:rFonts w:ascii="Arial" w:hAnsi="Arial" w:cs="Arial"/>
                <w:sz w:val="22"/>
                <w:szCs w:val="22"/>
              </w:rPr>
              <w:t>Strong</w:t>
            </w:r>
          </w:p>
        </w:tc>
        <w:tc>
          <w:tcPr>
            <w:tcW w:w="3914" w:type="dxa"/>
            <w:shd w:val="clear" w:color="auto" w:fill="auto"/>
            <w:tcMar>
              <w:top w:w="15" w:type="dxa"/>
              <w:left w:w="108" w:type="dxa"/>
              <w:bottom w:w="0" w:type="dxa"/>
              <w:right w:w="108" w:type="dxa"/>
            </w:tcMar>
            <w:hideMark/>
          </w:tcPr>
          <w:p w14:paraId="62066ACE" w14:textId="77777777" w:rsidR="00197708" w:rsidRPr="00B90A99" w:rsidRDefault="00197708" w:rsidP="00197708">
            <w:pPr>
              <w:rPr>
                <w:rFonts w:ascii="Arial" w:hAnsi="Arial" w:cs="Arial"/>
                <w:sz w:val="22"/>
                <w:szCs w:val="22"/>
              </w:rPr>
            </w:pPr>
            <w:r w:rsidRPr="00B90A99">
              <w:rPr>
                <w:rFonts w:ascii="Arial" w:hAnsi="Arial" w:cs="Arial"/>
                <w:sz w:val="22"/>
                <w:szCs w:val="22"/>
              </w:rPr>
              <w:t>recommend – must/to be/will</w:t>
            </w:r>
          </w:p>
        </w:tc>
      </w:tr>
      <w:tr w:rsidR="00197708" w:rsidRPr="00B90A99" w14:paraId="26725808" w14:textId="77777777" w:rsidTr="00197708">
        <w:trPr>
          <w:trHeight w:val="20"/>
        </w:trPr>
        <w:tc>
          <w:tcPr>
            <w:tcW w:w="2700" w:type="dxa"/>
            <w:shd w:val="clear" w:color="auto" w:fill="auto"/>
            <w:tcMar>
              <w:top w:w="15" w:type="dxa"/>
              <w:left w:w="108" w:type="dxa"/>
              <w:bottom w:w="0" w:type="dxa"/>
              <w:right w:w="108" w:type="dxa"/>
            </w:tcMar>
            <w:hideMark/>
          </w:tcPr>
          <w:p w14:paraId="4380CF8B" w14:textId="77777777" w:rsidR="00197708" w:rsidRPr="00B90A99" w:rsidRDefault="00197708" w:rsidP="00197708">
            <w:pPr>
              <w:rPr>
                <w:rFonts w:ascii="Arial" w:hAnsi="Arial" w:cs="Arial"/>
                <w:sz w:val="22"/>
                <w:szCs w:val="22"/>
              </w:rPr>
            </w:pPr>
            <w:r w:rsidRPr="00B90A99">
              <w:rPr>
                <w:rFonts w:ascii="Arial" w:hAnsi="Arial" w:cs="Arial"/>
                <w:sz w:val="22"/>
                <w:szCs w:val="22"/>
              </w:rPr>
              <w:t>Very good consensus</w:t>
            </w:r>
          </w:p>
        </w:tc>
        <w:tc>
          <w:tcPr>
            <w:tcW w:w="3150" w:type="dxa"/>
            <w:shd w:val="clear" w:color="auto" w:fill="auto"/>
            <w:tcMar>
              <w:top w:w="15" w:type="dxa"/>
              <w:left w:w="108" w:type="dxa"/>
              <w:bottom w:w="0" w:type="dxa"/>
              <w:right w:w="108" w:type="dxa"/>
            </w:tcMar>
            <w:hideMark/>
          </w:tcPr>
          <w:p w14:paraId="3FA6D1D3" w14:textId="77777777" w:rsidR="00197708" w:rsidRPr="00B90A99" w:rsidRDefault="00197708" w:rsidP="00197708">
            <w:pPr>
              <w:rPr>
                <w:rFonts w:ascii="Arial" w:hAnsi="Arial" w:cs="Arial"/>
                <w:sz w:val="22"/>
                <w:szCs w:val="22"/>
              </w:rPr>
            </w:pPr>
            <w:r w:rsidRPr="00B90A99">
              <w:rPr>
                <w:rFonts w:ascii="Arial" w:hAnsi="Arial" w:cs="Arial"/>
                <w:sz w:val="22"/>
                <w:szCs w:val="22"/>
              </w:rPr>
              <w:t>Strong</w:t>
            </w:r>
          </w:p>
        </w:tc>
        <w:tc>
          <w:tcPr>
            <w:tcW w:w="3914" w:type="dxa"/>
            <w:shd w:val="clear" w:color="auto" w:fill="auto"/>
            <w:tcMar>
              <w:top w:w="15" w:type="dxa"/>
              <w:left w:w="108" w:type="dxa"/>
              <w:bottom w:w="0" w:type="dxa"/>
              <w:right w:w="108" w:type="dxa"/>
            </w:tcMar>
            <w:hideMark/>
          </w:tcPr>
          <w:p w14:paraId="7DCC6CAE" w14:textId="77777777" w:rsidR="00197708" w:rsidRPr="00B90A99" w:rsidRDefault="00197708" w:rsidP="00197708">
            <w:pPr>
              <w:rPr>
                <w:rFonts w:ascii="Arial" w:hAnsi="Arial" w:cs="Arial"/>
                <w:sz w:val="22"/>
                <w:szCs w:val="22"/>
              </w:rPr>
            </w:pPr>
            <w:r w:rsidRPr="00B90A99">
              <w:rPr>
                <w:rFonts w:ascii="Arial" w:hAnsi="Arial" w:cs="Arial"/>
                <w:sz w:val="22"/>
                <w:szCs w:val="22"/>
              </w:rPr>
              <w:t>recommend – should be/can</w:t>
            </w:r>
          </w:p>
        </w:tc>
      </w:tr>
      <w:tr w:rsidR="00197708" w:rsidRPr="00B90A99" w14:paraId="14B42A14" w14:textId="77777777" w:rsidTr="00197708">
        <w:trPr>
          <w:trHeight w:val="20"/>
        </w:trPr>
        <w:tc>
          <w:tcPr>
            <w:tcW w:w="2700" w:type="dxa"/>
            <w:shd w:val="clear" w:color="auto" w:fill="auto"/>
            <w:tcMar>
              <w:top w:w="15" w:type="dxa"/>
              <w:left w:w="108" w:type="dxa"/>
              <w:bottom w:w="0" w:type="dxa"/>
              <w:right w:w="108" w:type="dxa"/>
            </w:tcMar>
            <w:hideMark/>
          </w:tcPr>
          <w:p w14:paraId="0BA7F876" w14:textId="77777777" w:rsidR="00197708" w:rsidRPr="00B90A99" w:rsidRDefault="00197708" w:rsidP="00197708">
            <w:pPr>
              <w:rPr>
                <w:rFonts w:ascii="Arial" w:hAnsi="Arial" w:cs="Arial"/>
                <w:sz w:val="22"/>
                <w:szCs w:val="22"/>
              </w:rPr>
            </w:pPr>
            <w:r w:rsidRPr="00B90A99">
              <w:rPr>
                <w:rFonts w:ascii="Arial" w:hAnsi="Arial" w:cs="Arial"/>
                <w:sz w:val="22"/>
                <w:szCs w:val="22"/>
              </w:rPr>
              <w:t>Good consensus</w:t>
            </w:r>
          </w:p>
        </w:tc>
        <w:tc>
          <w:tcPr>
            <w:tcW w:w="3150" w:type="dxa"/>
            <w:shd w:val="clear" w:color="auto" w:fill="auto"/>
            <w:tcMar>
              <w:top w:w="15" w:type="dxa"/>
              <w:left w:w="108" w:type="dxa"/>
              <w:bottom w:w="0" w:type="dxa"/>
              <w:right w:w="108" w:type="dxa"/>
            </w:tcMar>
            <w:hideMark/>
          </w:tcPr>
          <w:p w14:paraId="45F37A45" w14:textId="77777777" w:rsidR="00197708" w:rsidRPr="00B90A99" w:rsidRDefault="00197708" w:rsidP="00197708">
            <w:pPr>
              <w:rPr>
                <w:rFonts w:ascii="Arial" w:hAnsi="Arial" w:cs="Arial"/>
                <w:sz w:val="22"/>
                <w:szCs w:val="22"/>
              </w:rPr>
            </w:pPr>
            <w:r w:rsidRPr="00B90A99">
              <w:rPr>
                <w:rFonts w:ascii="Arial" w:hAnsi="Arial" w:cs="Arial"/>
                <w:sz w:val="22"/>
                <w:szCs w:val="22"/>
              </w:rPr>
              <w:t>Weak/Conditional</w:t>
            </w:r>
          </w:p>
        </w:tc>
        <w:tc>
          <w:tcPr>
            <w:tcW w:w="3914" w:type="dxa"/>
            <w:shd w:val="clear" w:color="auto" w:fill="auto"/>
            <w:tcMar>
              <w:top w:w="15" w:type="dxa"/>
              <w:left w:w="108" w:type="dxa"/>
              <w:bottom w:w="0" w:type="dxa"/>
              <w:right w:w="108" w:type="dxa"/>
            </w:tcMar>
            <w:hideMark/>
          </w:tcPr>
          <w:p w14:paraId="28A673C6" w14:textId="77777777" w:rsidR="00197708" w:rsidRPr="00B90A99" w:rsidRDefault="00197708" w:rsidP="00197708">
            <w:pPr>
              <w:rPr>
                <w:rFonts w:ascii="Arial" w:hAnsi="Arial" w:cs="Arial"/>
                <w:sz w:val="22"/>
                <w:szCs w:val="22"/>
              </w:rPr>
            </w:pPr>
            <w:r w:rsidRPr="00B90A99">
              <w:rPr>
                <w:rFonts w:ascii="Arial" w:hAnsi="Arial" w:cs="Arial"/>
                <w:sz w:val="22"/>
                <w:szCs w:val="22"/>
              </w:rPr>
              <w:t xml:space="preserve">suggest – to do </w:t>
            </w:r>
          </w:p>
        </w:tc>
      </w:tr>
      <w:tr w:rsidR="00197708" w:rsidRPr="00B90A99" w14:paraId="08A4BAB0" w14:textId="77777777" w:rsidTr="00197708">
        <w:trPr>
          <w:trHeight w:val="20"/>
        </w:trPr>
        <w:tc>
          <w:tcPr>
            <w:tcW w:w="2700" w:type="dxa"/>
            <w:shd w:val="clear" w:color="auto" w:fill="auto"/>
            <w:tcMar>
              <w:top w:w="15" w:type="dxa"/>
              <w:left w:w="108" w:type="dxa"/>
              <w:bottom w:w="0" w:type="dxa"/>
              <w:right w:w="108" w:type="dxa"/>
            </w:tcMar>
            <w:hideMark/>
          </w:tcPr>
          <w:p w14:paraId="5EBF0F1D" w14:textId="77777777" w:rsidR="00197708" w:rsidRPr="00B90A99" w:rsidRDefault="00197708" w:rsidP="00197708">
            <w:pPr>
              <w:rPr>
                <w:rFonts w:ascii="Arial" w:hAnsi="Arial" w:cs="Arial"/>
                <w:sz w:val="22"/>
                <w:szCs w:val="22"/>
              </w:rPr>
            </w:pPr>
            <w:r w:rsidRPr="00B90A99">
              <w:rPr>
                <w:rFonts w:ascii="Arial" w:hAnsi="Arial" w:cs="Arial"/>
                <w:sz w:val="22"/>
                <w:szCs w:val="22"/>
              </w:rPr>
              <w:t>Some consensus</w:t>
            </w:r>
          </w:p>
        </w:tc>
        <w:tc>
          <w:tcPr>
            <w:tcW w:w="3150" w:type="dxa"/>
            <w:shd w:val="clear" w:color="auto" w:fill="auto"/>
            <w:tcMar>
              <w:top w:w="15" w:type="dxa"/>
              <w:left w:w="108" w:type="dxa"/>
              <w:bottom w:w="0" w:type="dxa"/>
              <w:right w:w="108" w:type="dxa"/>
            </w:tcMar>
            <w:hideMark/>
          </w:tcPr>
          <w:p w14:paraId="62B3C12C" w14:textId="77777777" w:rsidR="00197708" w:rsidRPr="00B90A99" w:rsidRDefault="00197708" w:rsidP="00197708">
            <w:pPr>
              <w:rPr>
                <w:rFonts w:ascii="Arial" w:hAnsi="Arial" w:cs="Arial"/>
                <w:sz w:val="22"/>
                <w:szCs w:val="22"/>
              </w:rPr>
            </w:pPr>
            <w:r w:rsidRPr="00B90A99">
              <w:rPr>
                <w:rFonts w:ascii="Arial" w:hAnsi="Arial" w:cs="Arial"/>
                <w:sz w:val="22"/>
                <w:szCs w:val="22"/>
              </w:rPr>
              <w:t>Weak/Conditional</w:t>
            </w:r>
          </w:p>
        </w:tc>
        <w:tc>
          <w:tcPr>
            <w:tcW w:w="3914" w:type="dxa"/>
            <w:shd w:val="clear" w:color="auto" w:fill="auto"/>
            <w:tcMar>
              <w:top w:w="15" w:type="dxa"/>
              <w:left w:w="108" w:type="dxa"/>
              <w:bottom w:w="0" w:type="dxa"/>
              <w:right w:w="108" w:type="dxa"/>
            </w:tcMar>
            <w:hideMark/>
          </w:tcPr>
          <w:p w14:paraId="25069592" w14:textId="5510420A" w:rsidR="00197708" w:rsidRPr="00B90A99" w:rsidRDefault="00197708" w:rsidP="00197708">
            <w:pPr>
              <w:rPr>
                <w:rFonts w:ascii="Arial" w:hAnsi="Arial" w:cs="Arial"/>
                <w:sz w:val="22"/>
                <w:szCs w:val="22"/>
              </w:rPr>
            </w:pPr>
            <w:r w:rsidRPr="00B90A99">
              <w:rPr>
                <w:rFonts w:ascii="Arial" w:hAnsi="Arial" w:cs="Arial"/>
                <w:sz w:val="22"/>
                <w:szCs w:val="22"/>
              </w:rPr>
              <w:t xml:space="preserve">suggest </w:t>
            </w:r>
            <w:r w:rsidR="00B7329C">
              <w:rPr>
                <w:rFonts w:ascii="Arial" w:hAnsi="Arial" w:cs="Arial"/>
                <w:sz w:val="22"/>
                <w:szCs w:val="22"/>
              </w:rPr>
              <w:t>–</w:t>
            </w:r>
            <w:r w:rsidRPr="00B90A99">
              <w:rPr>
                <w:rFonts w:ascii="Arial" w:hAnsi="Arial" w:cs="Arial"/>
                <w:sz w:val="22"/>
                <w:szCs w:val="22"/>
              </w:rPr>
              <w:t xml:space="preserve"> may do</w:t>
            </w:r>
          </w:p>
        </w:tc>
      </w:tr>
      <w:tr w:rsidR="00197708" w:rsidRPr="00B90A99" w14:paraId="3A6FD8A0" w14:textId="77777777" w:rsidTr="00197708">
        <w:trPr>
          <w:trHeight w:val="20"/>
        </w:trPr>
        <w:tc>
          <w:tcPr>
            <w:tcW w:w="2700" w:type="dxa"/>
            <w:shd w:val="clear" w:color="auto" w:fill="auto"/>
            <w:tcMar>
              <w:top w:w="15" w:type="dxa"/>
              <w:left w:w="108" w:type="dxa"/>
              <w:bottom w:w="0" w:type="dxa"/>
              <w:right w:w="108" w:type="dxa"/>
            </w:tcMar>
            <w:hideMark/>
          </w:tcPr>
          <w:p w14:paraId="329AB1B4" w14:textId="77777777" w:rsidR="00197708" w:rsidRPr="00B90A99" w:rsidRDefault="00197708" w:rsidP="00197708">
            <w:pPr>
              <w:rPr>
                <w:rFonts w:ascii="Arial" w:hAnsi="Arial" w:cs="Arial"/>
                <w:sz w:val="22"/>
                <w:szCs w:val="22"/>
              </w:rPr>
            </w:pPr>
            <w:r w:rsidRPr="00B90A99">
              <w:rPr>
                <w:rFonts w:ascii="Arial" w:hAnsi="Arial" w:cs="Arial"/>
                <w:sz w:val="22"/>
                <w:szCs w:val="22"/>
              </w:rPr>
              <w:t>No consensus</w:t>
            </w:r>
          </w:p>
          <w:p w14:paraId="73A00FF8" w14:textId="77777777" w:rsidR="00197708" w:rsidRPr="00B90A99" w:rsidRDefault="00197708" w:rsidP="00197708">
            <w:pPr>
              <w:rPr>
                <w:rFonts w:ascii="Arial" w:hAnsi="Arial" w:cs="Arial"/>
                <w:sz w:val="22"/>
                <w:szCs w:val="22"/>
              </w:rPr>
            </w:pPr>
            <w:r w:rsidRPr="00B90A99">
              <w:rPr>
                <w:rFonts w:ascii="Arial" w:hAnsi="Arial" w:cs="Arial"/>
                <w:sz w:val="22"/>
                <w:szCs w:val="22"/>
              </w:rPr>
              <w:t>Disagreement</w:t>
            </w:r>
          </w:p>
        </w:tc>
        <w:tc>
          <w:tcPr>
            <w:tcW w:w="3150" w:type="dxa"/>
            <w:shd w:val="clear" w:color="auto" w:fill="auto"/>
            <w:tcMar>
              <w:top w:w="15" w:type="dxa"/>
              <w:left w:w="108" w:type="dxa"/>
              <w:bottom w:w="0" w:type="dxa"/>
              <w:right w:w="108" w:type="dxa"/>
            </w:tcMar>
            <w:hideMark/>
          </w:tcPr>
          <w:p w14:paraId="5E91852B" w14:textId="77777777" w:rsidR="00197708" w:rsidRPr="00B90A99" w:rsidRDefault="00197708" w:rsidP="00197708">
            <w:pPr>
              <w:rPr>
                <w:rFonts w:ascii="Arial" w:hAnsi="Arial" w:cs="Arial"/>
                <w:sz w:val="22"/>
                <w:szCs w:val="22"/>
              </w:rPr>
            </w:pPr>
            <w:r w:rsidRPr="00B90A99">
              <w:rPr>
                <w:rFonts w:ascii="Arial" w:hAnsi="Arial" w:cs="Arial"/>
                <w:sz w:val="22"/>
                <w:szCs w:val="22"/>
              </w:rPr>
              <w:t>NO</w:t>
            </w:r>
          </w:p>
        </w:tc>
        <w:tc>
          <w:tcPr>
            <w:tcW w:w="3914" w:type="dxa"/>
            <w:shd w:val="clear" w:color="auto" w:fill="auto"/>
            <w:tcMar>
              <w:top w:w="15" w:type="dxa"/>
              <w:left w:w="108" w:type="dxa"/>
              <w:bottom w:w="0" w:type="dxa"/>
              <w:right w:w="108" w:type="dxa"/>
            </w:tcMar>
            <w:hideMark/>
          </w:tcPr>
          <w:p w14:paraId="0FAEA801" w14:textId="77777777" w:rsidR="00197708" w:rsidRPr="00B90A99" w:rsidRDefault="00197708" w:rsidP="00197708">
            <w:pPr>
              <w:rPr>
                <w:rFonts w:ascii="Arial" w:hAnsi="Arial" w:cs="Arial"/>
                <w:sz w:val="22"/>
                <w:szCs w:val="22"/>
              </w:rPr>
            </w:pPr>
            <w:r w:rsidRPr="00B90A99">
              <w:rPr>
                <w:rFonts w:ascii="Arial" w:hAnsi="Arial" w:cs="Arial"/>
                <w:sz w:val="22"/>
                <w:szCs w:val="22"/>
              </w:rPr>
              <w:t xml:space="preserve">No recommendation was made regarding </w:t>
            </w:r>
          </w:p>
        </w:tc>
      </w:tr>
    </w:tbl>
    <w:p w14:paraId="6FD636AF" w14:textId="77777777" w:rsidR="00197708" w:rsidRDefault="00197708" w:rsidP="00197708">
      <w:pPr>
        <w:rPr>
          <w:rFonts w:ascii="Arial" w:hAnsi="Arial" w:cs="Arial"/>
          <w:sz w:val="22"/>
          <w:szCs w:val="22"/>
        </w:rPr>
      </w:pPr>
    </w:p>
    <w:p w14:paraId="2E3F7EEE" w14:textId="77777777" w:rsidR="00197708" w:rsidRDefault="00197708" w:rsidP="00197708">
      <w:pPr>
        <w:rPr>
          <w:rFonts w:ascii="Arial" w:hAnsi="Arial" w:cs="Arial"/>
          <w:sz w:val="22"/>
          <w:szCs w:val="22"/>
        </w:rPr>
      </w:pPr>
    </w:p>
    <w:p w14:paraId="632F6718" w14:textId="77777777" w:rsidR="00452899" w:rsidRDefault="00452899" w:rsidP="00197708">
      <w:pPr>
        <w:spacing w:line="360" w:lineRule="auto"/>
        <w:rPr>
          <w:rFonts w:ascii="Arial" w:hAnsi="Arial" w:cs="Arial"/>
          <w:b/>
          <w:sz w:val="22"/>
          <w:szCs w:val="22"/>
        </w:rPr>
      </w:pPr>
    </w:p>
    <w:p w14:paraId="4874D983" w14:textId="77777777" w:rsidR="00197708" w:rsidRPr="00F152CF" w:rsidRDefault="00197708" w:rsidP="00197708">
      <w:pPr>
        <w:spacing w:line="360" w:lineRule="auto"/>
        <w:rPr>
          <w:rFonts w:ascii="Arial" w:hAnsi="Arial" w:cs="Arial"/>
          <w:b/>
          <w:sz w:val="22"/>
          <w:szCs w:val="22"/>
        </w:rPr>
      </w:pPr>
      <w:r w:rsidRPr="00F152CF">
        <w:rPr>
          <w:rFonts w:ascii="Arial" w:hAnsi="Arial" w:cs="Arial"/>
          <w:b/>
          <w:sz w:val="22"/>
          <w:szCs w:val="22"/>
        </w:rPr>
        <w:t>References</w:t>
      </w:r>
    </w:p>
    <w:p w14:paraId="45C94E08" w14:textId="77777777" w:rsidR="00197708" w:rsidRDefault="00197708" w:rsidP="00197708">
      <w:pPr>
        <w:pStyle w:val="EndNoteBibliography"/>
        <w:rPr>
          <w:rFonts w:ascii="Arial" w:hAnsi="Arial" w:cs="Arial"/>
          <w:noProof/>
          <w:sz w:val="22"/>
          <w:szCs w:val="22"/>
        </w:rPr>
      </w:pPr>
      <w:r w:rsidRPr="00F152CF">
        <w:rPr>
          <w:rFonts w:ascii="Arial" w:hAnsi="Arial" w:cs="Arial"/>
          <w:sz w:val="22"/>
          <w:szCs w:val="22"/>
        </w:rPr>
        <w:fldChar w:fldCharType="begin"/>
      </w:r>
      <w:r w:rsidRPr="00F152CF">
        <w:rPr>
          <w:rFonts w:ascii="Arial" w:hAnsi="Arial" w:cs="Arial"/>
          <w:sz w:val="22"/>
          <w:szCs w:val="22"/>
        </w:rPr>
        <w:instrText xml:space="preserve"> ADDIN EN.REFLIST </w:instrText>
      </w:r>
      <w:r w:rsidRPr="00F152CF">
        <w:rPr>
          <w:rFonts w:ascii="Arial" w:hAnsi="Arial" w:cs="Arial"/>
          <w:sz w:val="22"/>
          <w:szCs w:val="22"/>
        </w:rPr>
        <w:fldChar w:fldCharType="separate"/>
      </w:r>
      <w:r>
        <w:rPr>
          <w:rFonts w:ascii="Arial" w:hAnsi="Arial" w:cs="Arial"/>
          <w:noProof/>
          <w:sz w:val="22"/>
          <w:szCs w:val="22"/>
        </w:rPr>
        <w:t xml:space="preserve">1. Definition of hospitalist available at: </w:t>
      </w:r>
      <w:hyperlink r:id="rId5" w:history="1">
        <w:r w:rsidRPr="00F152CF">
          <w:rPr>
            <w:rStyle w:val="Hyperlink"/>
            <w:rFonts w:ascii="Arial" w:hAnsi="Arial" w:cs="Arial"/>
            <w:noProof/>
            <w:sz w:val="22"/>
            <w:szCs w:val="22"/>
          </w:rPr>
          <w:t>https://www.hospitalmedicine.org/Web/About_SHM/Hospitalist_Definition/About_SHM/Industry/Hospital_Medicine_Hospital_Definition.aspx?hkey=fb083d78-95b8-4539-9c5b-58d4424877aa</w:t>
        </w:r>
      </w:hyperlink>
      <w:r w:rsidRPr="00F152CF">
        <w:rPr>
          <w:rFonts w:ascii="Arial" w:hAnsi="Arial" w:cs="Arial"/>
          <w:noProof/>
          <w:sz w:val="22"/>
          <w:szCs w:val="22"/>
        </w:rPr>
        <w:t>.</w:t>
      </w:r>
    </w:p>
    <w:p w14:paraId="56C361C5" w14:textId="77777777" w:rsidR="00197708" w:rsidRPr="00F152CF" w:rsidRDefault="00197708" w:rsidP="00197708">
      <w:pPr>
        <w:pStyle w:val="EndNoteBibliography"/>
        <w:rPr>
          <w:rFonts w:ascii="Arial" w:hAnsi="Arial" w:cs="Arial"/>
          <w:noProof/>
          <w:sz w:val="22"/>
          <w:szCs w:val="22"/>
        </w:rPr>
      </w:pPr>
    </w:p>
    <w:p w14:paraId="208AACBE" w14:textId="77777777" w:rsidR="00197708" w:rsidRDefault="00197708" w:rsidP="00197708">
      <w:pPr>
        <w:pStyle w:val="EndNoteBibliography"/>
        <w:rPr>
          <w:rFonts w:ascii="Arial" w:hAnsi="Arial" w:cs="Arial"/>
          <w:noProof/>
          <w:sz w:val="22"/>
          <w:szCs w:val="22"/>
        </w:rPr>
      </w:pPr>
      <w:r w:rsidRPr="00F152CF">
        <w:rPr>
          <w:rFonts w:ascii="Arial" w:hAnsi="Arial" w:cs="Arial"/>
          <w:noProof/>
          <w:sz w:val="22"/>
          <w:szCs w:val="22"/>
        </w:rPr>
        <w:t>2. (IOM) IoM. Clinical Practice Guidelines We Can Trust. Washington, DC: The National Academies Press, 2011.</w:t>
      </w:r>
    </w:p>
    <w:p w14:paraId="0311B744" w14:textId="77777777" w:rsidR="00197708" w:rsidRPr="00F152CF" w:rsidRDefault="00197708" w:rsidP="00197708">
      <w:pPr>
        <w:pStyle w:val="EndNoteBibliography"/>
        <w:rPr>
          <w:rFonts w:ascii="Arial" w:hAnsi="Arial" w:cs="Arial"/>
          <w:noProof/>
          <w:sz w:val="22"/>
          <w:szCs w:val="22"/>
        </w:rPr>
      </w:pPr>
    </w:p>
    <w:p w14:paraId="59B04EB2" w14:textId="77777777" w:rsidR="00197708" w:rsidRDefault="00197708" w:rsidP="00197708">
      <w:pPr>
        <w:pStyle w:val="EndNoteBibliography"/>
        <w:rPr>
          <w:rFonts w:ascii="Arial" w:hAnsi="Arial" w:cs="Arial"/>
          <w:noProof/>
          <w:sz w:val="22"/>
          <w:szCs w:val="22"/>
        </w:rPr>
      </w:pPr>
      <w:r w:rsidRPr="00F152CF">
        <w:rPr>
          <w:rFonts w:ascii="Arial" w:hAnsi="Arial" w:cs="Arial"/>
          <w:noProof/>
          <w:sz w:val="22"/>
          <w:szCs w:val="22"/>
        </w:rPr>
        <w:t>3.</w:t>
      </w:r>
      <w:r>
        <w:rPr>
          <w:rFonts w:ascii="Arial" w:hAnsi="Arial" w:cs="Arial"/>
          <w:noProof/>
          <w:sz w:val="22"/>
          <w:szCs w:val="22"/>
        </w:rPr>
        <w:t xml:space="preserve"> </w:t>
      </w:r>
      <w:r w:rsidRPr="00F152CF">
        <w:rPr>
          <w:rFonts w:ascii="Arial" w:hAnsi="Arial" w:cs="Arial"/>
          <w:noProof/>
          <w:sz w:val="22"/>
          <w:szCs w:val="22"/>
        </w:rPr>
        <w:t>(IOM) IoM. Knowing What Works in Health Care: A Roadmap for the Nation. Washington, DC2008.</w:t>
      </w:r>
    </w:p>
    <w:p w14:paraId="5BC7D5D6" w14:textId="77777777" w:rsidR="00197708" w:rsidRDefault="00197708" w:rsidP="00197708">
      <w:pPr>
        <w:pStyle w:val="EndNoteBibliography"/>
        <w:rPr>
          <w:rFonts w:ascii="Arial" w:hAnsi="Arial" w:cs="Arial"/>
          <w:noProof/>
          <w:sz w:val="22"/>
          <w:szCs w:val="22"/>
        </w:rPr>
      </w:pPr>
    </w:p>
    <w:p w14:paraId="0770896D" w14:textId="2CE65BAC" w:rsidR="00197708" w:rsidRDefault="00197708" w:rsidP="00197708">
      <w:pPr>
        <w:pStyle w:val="EndNoteBibliography"/>
        <w:rPr>
          <w:rFonts w:ascii="Arial" w:hAnsi="Arial" w:cs="Arial"/>
          <w:noProof/>
          <w:sz w:val="22"/>
          <w:szCs w:val="22"/>
        </w:rPr>
      </w:pPr>
      <w:r>
        <w:rPr>
          <w:rFonts w:ascii="Arial" w:hAnsi="Arial" w:cs="Arial"/>
          <w:noProof/>
          <w:sz w:val="22"/>
          <w:szCs w:val="22"/>
        </w:rPr>
        <w:t xml:space="preserve">4. </w:t>
      </w:r>
      <w:r w:rsidRPr="003954BC">
        <w:rPr>
          <w:rFonts w:ascii="Arial" w:hAnsi="Arial" w:cs="Arial"/>
          <w:noProof/>
          <w:sz w:val="22"/>
          <w:szCs w:val="22"/>
        </w:rPr>
        <w:t>Fitch, Kathryn, Steven J. Bernstein, Maria Dolores Aguilar, Bernard Burnand, Juan Ramon LaCalle, Pablo Lazaro, Mirjam van het Loo, Joseph McDonnell, Janneke Vader and James P. Kahan. The RAND/UCLA Appropriateness Method User's Manual. Santa Moni</w:t>
      </w:r>
      <w:r>
        <w:rPr>
          <w:rFonts w:ascii="Arial" w:hAnsi="Arial" w:cs="Arial"/>
          <w:noProof/>
          <w:sz w:val="22"/>
          <w:szCs w:val="22"/>
        </w:rPr>
        <w:t xml:space="preserve">ca, CA: RAND Corporation, 2001. </w:t>
      </w:r>
      <w:r w:rsidRPr="003954BC">
        <w:rPr>
          <w:rFonts w:ascii="Arial" w:hAnsi="Arial" w:cs="Arial"/>
          <w:noProof/>
          <w:sz w:val="22"/>
          <w:szCs w:val="22"/>
        </w:rPr>
        <w:t>http://www.rand.org/pubs/monograph_reports/MR1269.html.</w:t>
      </w:r>
    </w:p>
    <w:p w14:paraId="005C8D96" w14:textId="77777777" w:rsidR="00197708" w:rsidRPr="00F152CF" w:rsidRDefault="00197708" w:rsidP="00197708">
      <w:pPr>
        <w:pStyle w:val="EndNoteBibliography"/>
        <w:rPr>
          <w:rFonts w:ascii="Arial" w:hAnsi="Arial" w:cs="Arial"/>
          <w:noProof/>
          <w:sz w:val="22"/>
          <w:szCs w:val="22"/>
        </w:rPr>
      </w:pPr>
    </w:p>
    <w:p w14:paraId="4A08A37D" w14:textId="79B06F95" w:rsidR="00197708" w:rsidRPr="00453963" w:rsidRDefault="00197708" w:rsidP="00197708">
      <w:pPr>
        <w:rPr>
          <w:rFonts w:ascii="Arial" w:hAnsi="Arial" w:cs="Arial"/>
          <w:b/>
          <w:sz w:val="22"/>
          <w:szCs w:val="22"/>
        </w:rPr>
      </w:pPr>
      <w:r w:rsidRPr="00F152CF">
        <w:rPr>
          <w:rFonts w:ascii="Arial" w:hAnsi="Arial" w:cs="Arial"/>
          <w:sz w:val="22"/>
          <w:szCs w:val="22"/>
        </w:rPr>
        <w:fldChar w:fldCharType="end"/>
      </w:r>
    </w:p>
    <w:sectPr w:rsidR="00197708" w:rsidRPr="00453963" w:rsidSect="007B3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Berling 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93"/>
    <w:rsid w:val="00007C10"/>
    <w:rsid w:val="00030159"/>
    <w:rsid w:val="00057243"/>
    <w:rsid w:val="00087F6D"/>
    <w:rsid w:val="000B3480"/>
    <w:rsid w:val="000C1A63"/>
    <w:rsid w:val="00104AD6"/>
    <w:rsid w:val="001344FC"/>
    <w:rsid w:val="00134E8B"/>
    <w:rsid w:val="0013691A"/>
    <w:rsid w:val="00136F43"/>
    <w:rsid w:val="00197708"/>
    <w:rsid w:val="001A5171"/>
    <w:rsid w:val="001A6C20"/>
    <w:rsid w:val="001B398B"/>
    <w:rsid w:val="001C4A88"/>
    <w:rsid w:val="00211E68"/>
    <w:rsid w:val="0024436E"/>
    <w:rsid w:val="002A3A8E"/>
    <w:rsid w:val="002B3C13"/>
    <w:rsid w:val="002B4102"/>
    <w:rsid w:val="002B7061"/>
    <w:rsid w:val="002B7848"/>
    <w:rsid w:val="002D602D"/>
    <w:rsid w:val="002F7BAB"/>
    <w:rsid w:val="003411CE"/>
    <w:rsid w:val="00355E02"/>
    <w:rsid w:val="003603D6"/>
    <w:rsid w:val="00365BDF"/>
    <w:rsid w:val="00374635"/>
    <w:rsid w:val="003954BC"/>
    <w:rsid w:val="003B7E9B"/>
    <w:rsid w:val="003D5CF7"/>
    <w:rsid w:val="003E0B61"/>
    <w:rsid w:val="00424C17"/>
    <w:rsid w:val="00442E21"/>
    <w:rsid w:val="00452899"/>
    <w:rsid w:val="00453963"/>
    <w:rsid w:val="0046545C"/>
    <w:rsid w:val="00465C5B"/>
    <w:rsid w:val="004A734F"/>
    <w:rsid w:val="004C7130"/>
    <w:rsid w:val="004D1608"/>
    <w:rsid w:val="004E6326"/>
    <w:rsid w:val="005065B7"/>
    <w:rsid w:val="00514E6B"/>
    <w:rsid w:val="00516F56"/>
    <w:rsid w:val="00523AC1"/>
    <w:rsid w:val="00523B48"/>
    <w:rsid w:val="005749CC"/>
    <w:rsid w:val="00586425"/>
    <w:rsid w:val="005C69E8"/>
    <w:rsid w:val="005E3C40"/>
    <w:rsid w:val="00605940"/>
    <w:rsid w:val="0061615F"/>
    <w:rsid w:val="006220F2"/>
    <w:rsid w:val="006328FE"/>
    <w:rsid w:val="00655CC5"/>
    <w:rsid w:val="00686661"/>
    <w:rsid w:val="0069120B"/>
    <w:rsid w:val="0069458F"/>
    <w:rsid w:val="006A1EFB"/>
    <w:rsid w:val="006A23AA"/>
    <w:rsid w:val="006A4E28"/>
    <w:rsid w:val="006B33F9"/>
    <w:rsid w:val="006B7601"/>
    <w:rsid w:val="006F65F6"/>
    <w:rsid w:val="0071059D"/>
    <w:rsid w:val="00737A2C"/>
    <w:rsid w:val="007430E1"/>
    <w:rsid w:val="007B3893"/>
    <w:rsid w:val="007C2A02"/>
    <w:rsid w:val="007D3A66"/>
    <w:rsid w:val="007E615B"/>
    <w:rsid w:val="007E7D6D"/>
    <w:rsid w:val="007F28B6"/>
    <w:rsid w:val="008216FE"/>
    <w:rsid w:val="00835EFD"/>
    <w:rsid w:val="00847FAB"/>
    <w:rsid w:val="00864B0C"/>
    <w:rsid w:val="00880519"/>
    <w:rsid w:val="008A72E3"/>
    <w:rsid w:val="008B5613"/>
    <w:rsid w:val="008C4435"/>
    <w:rsid w:val="008C48C2"/>
    <w:rsid w:val="008D5607"/>
    <w:rsid w:val="008E0447"/>
    <w:rsid w:val="008E75CA"/>
    <w:rsid w:val="008E7647"/>
    <w:rsid w:val="00922C65"/>
    <w:rsid w:val="0092324E"/>
    <w:rsid w:val="00975560"/>
    <w:rsid w:val="0098108B"/>
    <w:rsid w:val="00991304"/>
    <w:rsid w:val="009D413C"/>
    <w:rsid w:val="009D43C5"/>
    <w:rsid w:val="00A3111D"/>
    <w:rsid w:val="00A448A2"/>
    <w:rsid w:val="00A9460D"/>
    <w:rsid w:val="00A94613"/>
    <w:rsid w:val="00B66F12"/>
    <w:rsid w:val="00B67780"/>
    <w:rsid w:val="00B7329C"/>
    <w:rsid w:val="00B746CD"/>
    <w:rsid w:val="00BE03EF"/>
    <w:rsid w:val="00C27E1A"/>
    <w:rsid w:val="00C560AA"/>
    <w:rsid w:val="00CA7082"/>
    <w:rsid w:val="00CC1959"/>
    <w:rsid w:val="00CC5005"/>
    <w:rsid w:val="00CE7C52"/>
    <w:rsid w:val="00D154D0"/>
    <w:rsid w:val="00D179DE"/>
    <w:rsid w:val="00D635AD"/>
    <w:rsid w:val="00D70D0B"/>
    <w:rsid w:val="00D90022"/>
    <w:rsid w:val="00D94170"/>
    <w:rsid w:val="00DB1E93"/>
    <w:rsid w:val="00DE37DB"/>
    <w:rsid w:val="00DE47B5"/>
    <w:rsid w:val="00E35D1E"/>
    <w:rsid w:val="00E439D7"/>
    <w:rsid w:val="00E71583"/>
    <w:rsid w:val="00E74F62"/>
    <w:rsid w:val="00F02A4F"/>
    <w:rsid w:val="00F152CF"/>
    <w:rsid w:val="00F31F97"/>
    <w:rsid w:val="00F405CE"/>
    <w:rsid w:val="00F4706F"/>
    <w:rsid w:val="00F62287"/>
    <w:rsid w:val="00F742C7"/>
    <w:rsid w:val="00F822E6"/>
    <w:rsid w:val="00F85108"/>
    <w:rsid w:val="00F85FB7"/>
    <w:rsid w:val="00F92BFD"/>
    <w:rsid w:val="00F93DBA"/>
    <w:rsid w:val="00FA7500"/>
    <w:rsid w:val="00FC1DC7"/>
    <w:rsid w:val="00FD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2D0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3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38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893"/>
    <w:rPr>
      <w:rFonts w:ascii="Lucida Grande" w:hAnsi="Lucida Grande" w:cs="Lucida Grande"/>
      <w:sz w:val="18"/>
      <w:szCs w:val="18"/>
    </w:rPr>
  </w:style>
  <w:style w:type="paragraph" w:customStyle="1" w:styleId="EndNoteBibliography">
    <w:name w:val="EndNote Bibliography"/>
    <w:basedOn w:val="Normal"/>
    <w:rsid w:val="00F93DBA"/>
    <w:rPr>
      <w:rFonts w:ascii="Cambria" w:hAnsi="Cambria"/>
    </w:rPr>
  </w:style>
  <w:style w:type="character" w:styleId="Hyperlink">
    <w:name w:val="Hyperlink"/>
    <w:basedOn w:val="DefaultParagraphFont"/>
    <w:uiPriority w:val="99"/>
    <w:unhideWhenUsed/>
    <w:rsid w:val="00F93DBA"/>
    <w:rPr>
      <w:color w:val="0000FF" w:themeColor="hyperlink"/>
      <w:u w:val="single"/>
    </w:rPr>
  </w:style>
  <w:style w:type="paragraph" w:styleId="NormalWeb">
    <w:name w:val="Normal (Web)"/>
    <w:basedOn w:val="Normal"/>
    <w:uiPriority w:val="99"/>
    <w:semiHidden/>
    <w:unhideWhenUsed/>
    <w:rsid w:val="008D5607"/>
    <w:pPr>
      <w:spacing w:before="100" w:beforeAutospacing="1" w:after="100" w:afterAutospacing="1"/>
    </w:pPr>
    <w:rPr>
      <w:rFonts w:ascii="Times" w:hAnsi="Times" w:cs="Times New Roman"/>
      <w:sz w:val="20"/>
      <w:szCs w:val="20"/>
    </w:rPr>
  </w:style>
  <w:style w:type="paragraph" w:customStyle="1" w:styleId="Default">
    <w:name w:val="Default"/>
    <w:rsid w:val="00F4706F"/>
    <w:pPr>
      <w:autoSpaceDE w:val="0"/>
      <w:autoSpaceDN w:val="0"/>
      <w:adjustRightInd w:val="0"/>
    </w:pPr>
    <w:rPr>
      <w:rFonts w:ascii="Berling Roman" w:eastAsia="Times New Roman" w:hAnsi="Berling Roman" w:cs="Berling Roman"/>
      <w:color w:val="000000"/>
    </w:rPr>
  </w:style>
  <w:style w:type="table" w:customStyle="1" w:styleId="TableGrid1">
    <w:name w:val="Table Grid1"/>
    <w:basedOn w:val="TableNormal"/>
    <w:next w:val="TableGrid"/>
    <w:uiPriority w:val="59"/>
    <w:rsid w:val="00453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E7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945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hospitalmedicine.org/Web/About_SHM/Hospitalist_Definition/About_SHM/Industry/Hospital_Medicine_Hospital_Definition.aspx?hkey=fb083d78-95b8-4539-9c5b-58d4424877a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1707</Words>
  <Characters>9733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SoniN</dc:creator>
  <cp:lastModifiedBy>Ria Dancel</cp:lastModifiedBy>
  <cp:revision>2</cp:revision>
  <cp:lastPrinted>2017-10-04T18:05:00Z</cp:lastPrinted>
  <dcterms:created xsi:type="dcterms:W3CDTF">2017-10-13T02:44:00Z</dcterms:created>
  <dcterms:modified xsi:type="dcterms:W3CDTF">2017-10-13T02:44:00Z</dcterms:modified>
</cp:coreProperties>
</file>