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EA" w:rsidRPr="003D49BB" w:rsidRDefault="009433EA" w:rsidP="00907527">
      <w:pPr>
        <w:pStyle w:val="FirstParagraph"/>
        <w:spacing w:before="0" w:after="240"/>
        <w:jc w:val="center"/>
        <w:rPr>
          <w:rFonts w:ascii="Times New Roman" w:hAnsi="Times New Roman" w:cs="Times New Roman"/>
          <w:b/>
        </w:rPr>
      </w:pPr>
      <w:r w:rsidRPr="003D49BB">
        <w:rPr>
          <w:rFonts w:ascii="Times New Roman" w:hAnsi="Times New Roman" w:cs="Times New Roman"/>
          <w:b/>
        </w:rPr>
        <w:t>Supplementary Material</w:t>
      </w:r>
    </w:p>
    <w:p w:rsidR="00633BD2" w:rsidRPr="00BF5732" w:rsidRDefault="007F0AAE" w:rsidP="007F0AAE">
      <w:pPr>
        <w:spacing w:after="60"/>
        <w:rPr>
          <w:rFonts w:ascii="Times New Roman" w:hAnsi="Times New Roman" w:cs="Times New Roman"/>
        </w:rPr>
      </w:pPr>
      <w:r>
        <w:rPr>
          <w:rFonts w:ascii="Times New Roman" w:hAnsi="Times New Roman" w:cs="Times New Roman"/>
        </w:rPr>
        <w:t xml:space="preserve">        </w:t>
      </w:r>
      <w:r w:rsidR="00633BD2" w:rsidRPr="00BF5732">
        <w:rPr>
          <w:rFonts w:ascii="Times New Roman" w:hAnsi="Times New Roman" w:cs="Times New Roman"/>
        </w:rPr>
        <w:t>Supplement Table 1. Patient characteristics associated with 30-day readmissions</w:t>
      </w:r>
    </w:p>
    <w:tbl>
      <w:tblPr>
        <w:tblStyle w:val="TableGrid"/>
        <w:tblW w:w="8545"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4045"/>
        <w:gridCol w:w="2250"/>
        <w:gridCol w:w="2250"/>
      </w:tblGrid>
      <w:tr w:rsidR="00633BD2" w:rsidRPr="00907527" w:rsidTr="007F0AAE">
        <w:trPr>
          <w:trHeight w:val="465"/>
        </w:trPr>
        <w:tc>
          <w:tcPr>
            <w:tcW w:w="4045" w:type="dxa"/>
            <w:tcBorders>
              <w:top w:val="single" w:sz="4" w:space="0" w:color="auto"/>
              <w:bottom w:val="single" w:sz="4" w:space="0" w:color="auto"/>
            </w:tcBorders>
          </w:tcPr>
          <w:p w:rsidR="00633BD2" w:rsidRPr="00A0260A" w:rsidRDefault="00633BD2" w:rsidP="00633BD2">
            <w:pPr>
              <w:rPr>
                <w:rFonts w:ascii="Times New Roman" w:hAnsi="Times New Roman" w:cs="Times New Roman"/>
                <w:b/>
                <w:sz w:val="19"/>
                <w:szCs w:val="19"/>
              </w:rPr>
            </w:pPr>
            <w:r w:rsidRPr="00A0260A">
              <w:rPr>
                <w:rFonts w:ascii="Times New Roman" w:hAnsi="Times New Roman" w:cs="Times New Roman"/>
                <w:b/>
                <w:sz w:val="19"/>
                <w:szCs w:val="19"/>
              </w:rPr>
              <w:t>Patient characteristic</w:t>
            </w:r>
          </w:p>
        </w:tc>
        <w:tc>
          <w:tcPr>
            <w:tcW w:w="2250" w:type="dxa"/>
            <w:tcBorders>
              <w:top w:val="single" w:sz="4" w:space="0" w:color="auto"/>
              <w:bottom w:val="single" w:sz="4" w:space="0" w:color="auto"/>
            </w:tcBorders>
            <w:shd w:val="clear" w:color="auto" w:fill="auto"/>
          </w:tcPr>
          <w:p w:rsidR="00633BD2" w:rsidRPr="00907527" w:rsidRDefault="00633BD2" w:rsidP="00633BD2">
            <w:pPr>
              <w:jc w:val="center"/>
              <w:rPr>
                <w:rFonts w:ascii="Times New Roman" w:hAnsi="Times New Roman" w:cs="Times New Roman"/>
                <w:b/>
                <w:sz w:val="18"/>
                <w:szCs w:val="18"/>
              </w:rPr>
            </w:pPr>
            <w:r w:rsidRPr="00907527">
              <w:rPr>
                <w:rFonts w:ascii="Times New Roman" w:hAnsi="Times New Roman" w:cs="Times New Roman"/>
                <w:b/>
                <w:sz w:val="18"/>
                <w:szCs w:val="18"/>
              </w:rPr>
              <w:t>Patients (%)</w:t>
            </w:r>
          </w:p>
          <w:p w:rsidR="00633BD2" w:rsidRPr="00907527" w:rsidRDefault="00633BD2" w:rsidP="00633BD2">
            <w:pPr>
              <w:jc w:val="center"/>
              <w:rPr>
                <w:rFonts w:ascii="Times New Roman" w:hAnsi="Times New Roman" w:cs="Times New Roman"/>
                <w:sz w:val="18"/>
                <w:szCs w:val="18"/>
              </w:rPr>
            </w:pPr>
            <w:r w:rsidRPr="00907527">
              <w:rPr>
                <w:rFonts w:ascii="Times New Roman" w:hAnsi="Times New Roman" w:cs="Times New Roman"/>
                <w:sz w:val="18"/>
                <w:szCs w:val="18"/>
              </w:rPr>
              <w:t>N = 3,951</w:t>
            </w:r>
          </w:p>
        </w:tc>
        <w:tc>
          <w:tcPr>
            <w:tcW w:w="2250" w:type="dxa"/>
            <w:tcBorders>
              <w:top w:val="single" w:sz="4" w:space="0" w:color="auto"/>
              <w:bottom w:val="single" w:sz="4" w:space="0" w:color="auto"/>
            </w:tcBorders>
          </w:tcPr>
          <w:p w:rsidR="00633BD2" w:rsidRPr="00907527" w:rsidRDefault="00633BD2" w:rsidP="00633BD2">
            <w:pPr>
              <w:jc w:val="center"/>
              <w:rPr>
                <w:rFonts w:ascii="Times New Roman" w:hAnsi="Times New Roman" w:cs="Times New Roman"/>
                <w:b/>
                <w:sz w:val="18"/>
                <w:szCs w:val="18"/>
              </w:rPr>
            </w:pPr>
            <w:r w:rsidRPr="00907527">
              <w:rPr>
                <w:rFonts w:ascii="Times New Roman" w:hAnsi="Times New Roman" w:cs="Times New Roman"/>
                <w:b/>
                <w:sz w:val="18"/>
                <w:szCs w:val="18"/>
              </w:rPr>
              <w:t xml:space="preserve">30-Day Readmission Rate </w:t>
            </w:r>
            <w:r w:rsidRPr="009564FD">
              <w:rPr>
                <w:rFonts w:ascii="Times New Roman" w:hAnsi="Times New Roman" w:cs="Times New Roman"/>
                <w:sz w:val="18"/>
                <w:szCs w:val="18"/>
              </w:rPr>
              <w:t>(%)</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Age category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&lt; 65 years</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65-84 years</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 85 years</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505 (12.8)</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2,032 (51.4)</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1,414 (35.8)</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rPr>
            </w:pP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 23.4 </w:t>
            </w:r>
            <w:r w:rsidRPr="00907527">
              <w:rPr>
                <w:rFonts w:ascii="Times New Roman" w:hAnsi="Times New Roman" w:cs="Times New Roman"/>
                <w:i/>
                <w:sz w:val="18"/>
                <w:szCs w:val="18"/>
                <w:vertAlign w:val="superscript"/>
              </w:rPr>
              <w:t>a</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19.0 </w:t>
            </w:r>
            <w:r w:rsidRPr="00907527">
              <w:rPr>
                <w:rFonts w:ascii="Times New Roman" w:hAnsi="Times New Roman" w:cs="Times New Roman"/>
                <w:i/>
                <w:sz w:val="18"/>
                <w:szCs w:val="18"/>
                <w:vertAlign w:val="superscript"/>
              </w:rPr>
              <w:t>b</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18.7 </w:t>
            </w:r>
            <w:r w:rsidRPr="00907527">
              <w:rPr>
                <w:rFonts w:ascii="Times New Roman" w:hAnsi="Times New Roman" w:cs="Times New Roman"/>
                <w:i/>
                <w:sz w:val="18"/>
                <w:szCs w:val="18"/>
                <w:vertAlign w:val="superscript"/>
              </w:rPr>
              <w:t>b</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Gender</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Female </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Male</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2,341 (59.2)</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1,610 (40.8)</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 </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23.3 </w:t>
            </w:r>
            <w:r w:rsidRPr="00907527">
              <w:rPr>
                <w:rFonts w:ascii="Times New Roman" w:hAnsi="Times New Roman" w:cs="Times New Roman"/>
                <w:i/>
                <w:sz w:val="18"/>
                <w:szCs w:val="18"/>
                <w:vertAlign w:val="superscript"/>
              </w:rPr>
              <w:t>c</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16.8 </w:t>
            </w:r>
            <w:r w:rsidRPr="00907527">
              <w:rPr>
                <w:rFonts w:ascii="Times New Roman" w:hAnsi="Times New Roman" w:cs="Times New Roman"/>
                <w:i/>
                <w:sz w:val="18"/>
                <w:szCs w:val="18"/>
                <w:vertAlign w:val="superscript"/>
              </w:rPr>
              <w:t>d</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Race</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Non-Hispanic White</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Black or African-American</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Hispanic/Latino</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Asian</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Other/Unknown</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2,998 (72.3)</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752 (19.1)</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201 </w:t>
            </w:r>
            <w:proofErr w:type="gramStart"/>
            <w:r w:rsidRPr="00907527">
              <w:rPr>
                <w:rFonts w:ascii="Times New Roman" w:hAnsi="Times New Roman" w:cs="Times New Roman"/>
                <w:sz w:val="18"/>
                <w:szCs w:val="18"/>
              </w:rPr>
              <w:t>(  5.1</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116 </w:t>
            </w:r>
            <w:proofErr w:type="gramStart"/>
            <w:r w:rsidRPr="00907527">
              <w:rPr>
                <w:rFonts w:ascii="Times New Roman" w:hAnsi="Times New Roman" w:cs="Times New Roman"/>
                <w:sz w:val="18"/>
                <w:szCs w:val="18"/>
              </w:rPr>
              <w:t>(  2.9</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24 (  0.6)</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rPr>
            </w:pP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18.6 </w:t>
            </w:r>
            <w:r w:rsidRPr="00907527">
              <w:rPr>
                <w:rFonts w:ascii="Times New Roman" w:hAnsi="Times New Roman" w:cs="Times New Roman"/>
                <w:i/>
                <w:sz w:val="18"/>
                <w:szCs w:val="18"/>
                <w:vertAlign w:val="superscript"/>
              </w:rPr>
              <w:t>a</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22.7 </w:t>
            </w:r>
            <w:r w:rsidRPr="00907527">
              <w:rPr>
                <w:rFonts w:ascii="Times New Roman" w:hAnsi="Times New Roman" w:cs="Times New Roman"/>
                <w:i/>
                <w:sz w:val="18"/>
                <w:szCs w:val="18"/>
                <w:vertAlign w:val="superscript"/>
              </w:rPr>
              <w:t>b</w:t>
            </w:r>
          </w:p>
          <w:p w:rsidR="00633BD2" w:rsidRPr="00907527" w:rsidRDefault="00633BD2" w:rsidP="00633BD2">
            <w:pPr>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w:t>
            </w:r>
            <w:r w:rsidR="00907527">
              <w:rPr>
                <w:rFonts w:ascii="Times New Roman" w:hAnsi="Times New Roman" w:cs="Times New Roman"/>
                <w:sz w:val="18"/>
                <w:szCs w:val="18"/>
              </w:rPr>
              <w:t xml:space="preserve">     </w:t>
            </w:r>
            <w:r w:rsidRPr="00907527">
              <w:rPr>
                <w:rFonts w:ascii="Times New Roman" w:hAnsi="Times New Roman" w:cs="Times New Roman"/>
                <w:sz w:val="18"/>
                <w:szCs w:val="18"/>
              </w:rPr>
              <w:t xml:space="preserve"> 18.9</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24.1 </w:t>
            </w:r>
            <w:r w:rsidRPr="00907527">
              <w:rPr>
                <w:rFonts w:ascii="Times New Roman" w:hAnsi="Times New Roman" w:cs="Times New Roman"/>
                <w:i/>
                <w:sz w:val="18"/>
                <w:szCs w:val="18"/>
                <w:vertAlign w:val="superscript"/>
              </w:rPr>
              <w:t>b</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0.0</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Preferred language</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English</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Farsi</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Russian</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Spanish</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Other Non-English</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2,956 (74.8)</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331 </w:t>
            </w:r>
            <w:proofErr w:type="gramStart"/>
            <w:r w:rsidRPr="00907527">
              <w:rPr>
                <w:rFonts w:ascii="Times New Roman" w:hAnsi="Times New Roman" w:cs="Times New Roman"/>
                <w:sz w:val="18"/>
                <w:szCs w:val="18"/>
              </w:rPr>
              <w:t>( 8.4</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769 </w:t>
            </w:r>
            <w:proofErr w:type="gramStart"/>
            <w:r w:rsidRPr="00907527">
              <w:rPr>
                <w:rFonts w:ascii="Times New Roman" w:hAnsi="Times New Roman" w:cs="Times New Roman"/>
                <w:sz w:val="18"/>
                <w:szCs w:val="18"/>
              </w:rPr>
              <w:t>( 9.2</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135 </w:t>
            </w:r>
            <w:proofErr w:type="gramStart"/>
            <w:r w:rsidRPr="00907527">
              <w:rPr>
                <w:rFonts w:ascii="Times New Roman" w:hAnsi="Times New Roman" w:cs="Times New Roman"/>
                <w:sz w:val="18"/>
                <w:szCs w:val="18"/>
              </w:rPr>
              <w:t>( 3.4</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164  (4.2)</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rPr>
            </w:pP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18.9 </w:t>
            </w:r>
            <w:r w:rsidRPr="00907527">
              <w:rPr>
                <w:rFonts w:ascii="Times New Roman" w:hAnsi="Times New Roman" w:cs="Times New Roman"/>
                <w:i/>
                <w:sz w:val="18"/>
                <w:szCs w:val="18"/>
                <w:vertAlign w:val="superscript"/>
              </w:rPr>
              <w:t>c</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19.3 </w:t>
            </w:r>
            <w:r w:rsidRPr="00907527">
              <w:rPr>
                <w:rFonts w:ascii="Times New Roman" w:hAnsi="Times New Roman" w:cs="Times New Roman"/>
                <w:i/>
                <w:sz w:val="18"/>
                <w:szCs w:val="18"/>
                <w:vertAlign w:val="superscript"/>
              </w:rPr>
              <w:t>a</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17.8 </w:t>
            </w:r>
            <w:r w:rsidRPr="00907527">
              <w:rPr>
                <w:rFonts w:ascii="Times New Roman" w:hAnsi="Times New Roman" w:cs="Times New Roman"/>
                <w:i/>
                <w:sz w:val="18"/>
                <w:szCs w:val="18"/>
                <w:vertAlign w:val="superscript"/>
              </w:rPr>
              <w:t>a</w:t>
            </w:r>
          </w:p>
          <w:p w:rsidR="00633BD2" w:rsidRPr="00907527" w:rsidRDefault="00907527" w:rsidP="00907527">
            <w:pPr>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07527">
              <w:rPr>
                <w:rFonts w:ascii="Times New Roman" w:hAnsi="Times New Roman" w:cs="Times New Roman"/>
                <w:sz w:val="18"/>
                <w:szCs w:val="18"/>
              </w:rPr>
              <w:t xml:space="preserve"> </w:t>
            </w:r>
            <w:r w:rsidR="00633BD2" w:rsidRPr="00907527">
              <w:rPr>
                <w:rFonts w:ascii="Times New Roman" w:hAnsi="Times New Roman" w:cs="Times New Roman"/>
                <w:sz w:val="18"/>
                <w:szCs w:val="18"/>
              </w:rPr>
              <w:t>24.4</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     29.9 </w:t>
            </w:r>
            <w:r w:rsidRPr="00907527">
              <w:rPr>
                <w:rFonts w:ascii="Times New Roman" w:hAnsi="Times New Roman" w:cs="Times New Roman"/>
                <w:sz w:val="18"/>
                <w:szCs w:val="18"/>
                <w:vertAlign w:val="superscript"/>
              </w:rPr>
              <w:t>b,</w:t>
            </w:r>
            <w:r w:rsidRPr="00907527">
              <w:rPr>
                <w:rFonts w:ascii="Times New Roman" w:hAnsi="Times New Roman" w:cs="Times New Roman"/>
                <w:sz w:val="18"/>
                <w:szCs w:val="18"/>
              </w:rPr>
              <w:t xml:space="preserve"> </w:t>
            </w:r>
            <w:r w:rsidRPr="00907527">
              <w:rPr>
                <w:rFonts w:ascii="Times New Roman" w:hAnsi="Times New Roman" w:cs="Times New Roman"/>
                <w:i/>
                <w:sz w:val="18"/>
                <w:szCs w:val="18"/>
                <w:vertAlign w:val="superscript"/>
              </w:rPr>
              <w:t>c</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Payer</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Medicare FFS</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Dual Eligible</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Other</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1,812 (45.9)</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1,696 (42.9)</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443 (11.2)</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rPr>
            </w:pP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16.8 </w:t>
            </w:r>
            <w:r w:rsidRPr="00907527">
              <w:rPr>
                <w:rFonts w:ascii="Times New Roman" w:hAnsi="Times New Roman" w:cs="Times New Roman"/>
                <w:i/>
                <w:sz w:val="18"/>
                <w:szCs w:val="18"/>
                <w:vertAlign w:val="superscript"/>
              </w:rPr>
              <w:t>c</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22.6 </w:t>
            </w:r>
            <w:r w:rsidRPr="00907527">
              <w:rPr>
                <w:rFonts w:ascii="Times New Roman" w:hAnsi="Times New Roman" w:cs="Times New Roman"/>
                <w:i/>
                <w:sz w:val="18"/>
                <w:szCs w:val="18"/>
                <w:vertAlign w:val="superscript"/>
              </w:rPr>
              <w:t>d</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18.5 </w:t>
            </w:r>
            <w:r w:rsidRPr="00907527">
              <w:rPr>
                <w:rFonts w:ascii="Times New Roman" w:hAnsi="Times New Roman" w:cs="Times New Roman"/>
                <w:i/>
                <w:sz w:val="18"/>
                <w:szCs w:val="18"/>
                <w:vertAlign w:val="superscript"/>
              </w:rPr>
              <w:t>c</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Hospital Clinical Service Line</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Orthopedic surgery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General Internal Medicine</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General Surgery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Cardiology – Medical</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Cardiology – Interventional</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Gastroenterology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Pulmonary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Neurology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Other surgical</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Psychiatry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Other service</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1,016 (25.7)</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814 (20.6)</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337 </w:t>
            </w:r>
            <w:proofErr w:type="gramStart"/>
            <w:r w:rsidRPr="00907527">
              <w:rPr>
                <w:rFonts w:ascii="Times New Roman" w:hAnsi="Times New Roman" w:cs="Times New Roman"/>
                <w:sz w:val="18"/>
                <w:szCs w:val="18"/>
              </w:rPr>
              <w:t>(  8.5</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327 </w:t>
            </w:r>
            <w:proofErr w:type="gramStart"/>
            <w:r w:rsidRPr="00907527">
              <w:rPr>
                <w:rFonts w:ascii="Times New Roman" w:hAnsi="Times New Roman" w:cs="Times New Roman"/>
                <w:sz w:val="18"/>
                <w:szCs w:val="18"/>
              </w:rPr>
              <w:t>(  8.3</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79 </w:t>
            </w:r>
            <w:proofErr w:type="gramStart"/>
            <w:r w:rsidRPr="00907527">
              <w:rPr>
                <w:rFonts w:ascii="Times New Roman" w:hAnsi="Times New Roman" w:cs="Times New Roman"/>
                <w:sz w:val="18"/>
                <w:szCs w:val="18"/>
              </w:rPr>
              <w:t>(  2.0</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275 </w:t>
            </w:r>
            <w:proofErr w:type="gramStart"/>
            <w:r w:rsidRPr="00907527">
              <w:rPr>
                <w:rFonts w:ascii="Times New Roman" w:hAnsi="Times New Roman" w:cs="Times New Roman"/>
                <w:sz w:val="18"/>
                <w:szCs w:val="18"/>
              </w:rPr>
              <w:t>(  7.0</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294 </w:t>
            </w:r>
            <w:proofErr w:type="gramStart"/>
            <w:r w:rsidRPr="00907527">
              <w:rPr>
                <w:rFonts w:ascii="Times New Roman" w:hAnsi="Times New Roman" w:cs="Times New Roman"/>
                <w:sz w:val="18"/>
                <w:szCs w:val="18"/>
              </w:rPr>
              <w:t>(  7.4</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242 </w:t>
            </w:r>
            <w:proofErr w:type="gramStart"/>
            <w:r w:rsidRPr="00907527">
              <w:rPr>
                <w:rFonts w:ascii="Times New Roman" w:hAnsi="Times New Roman" w:cs="Times New Roman"/>
                <w:sz w:val="18"/>
                <w:szCs w:val="18"/>
              </w:rPr>
              <w:t>(  6.1</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311 </w:t>
            </w:r>
            <w:proofErr w:type="gramStart"/>
            <w:r w:rsidRPr="00907527">
              <w:rPr>
                <w:rFonts w:ascii="Times New Roman" w:hAnsi="Times New Roman" w:cs="Times New Roman"/>
                <w:sz w:val="18"/>
                <w:szCs w:val="18"/>
              </w:rPr>
              <w:t>(  7.9</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20 </w:t>
            </w:r>
            <w:proofErr w:type="gramStart"/>
            <w:r w:rsidRPr="00907527">
              <w:rPr>
                <w:rFonts w:ascii="Times New Roman" w:hAnsi="Times New Roman" w:cs="Times New Roman"/>
                <w:sz w:val="18"/>
                <w:szCs w:val="18"/>
              </w:rPr>
              <w:t>(  0.5</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236 (  6.0)</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lang w:val="pt-BR"/>
              </w:rPr>
            </w:pP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11.2 </w:t>
            </w:r>
            <w:r w:rsidRPr="00907527">
              <w:rPr>
                <w:rFonts w:ascii="Times New Roman" w:hAnsi="Times New Roman" w:cs="Times New Roman"/>
                <w:sz w:val="18"/>
                <w:szCs w:val="18"/>
                <w:vertAlign w:val="superscript"/>
                <w:lang w:val="pt-BR"/>
              </w:rPr>
              <w:t>a,</w:t>
            </w:r>
            <w:r w:rsidRPr="00907527">
              <w:rPr>
                <w:rFonts w:ascii="Times New Roman" w:hAnsi="Times New Roman" w:cs="Times New Roman"/>
                <w:i/>
                <w:sz w:val="18"/>
                <w:szCs w:val="18"/>
                <w:vertAlign w:val="superscript"/>
                <w:lang w:val="pt-BR"/>
              </w:rPr>
              <w:t>c</w:t>
            </w: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21.7 </w:t>
            </w:r>
            <w:r w:rsidRPr="00907527">
              <w:rPr>
                <w:rFonts w:ascii="Times New Roman" w:hAnsi="Times New Roman" w:cs="Times New Roman"/>
                <w:i/>
                <w:sz w:val="18"/>
                <w:szCs w:val="18"/>
                <w:vertAlign w:val="superscript"/>
                <w:lang w:val="pt-BR"/>
              </w:rPr>
              <w:t>d</w:t>
            </w: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22.3 </w:t>
            </w:r>
            <w:r w:rsidRPr="00907527">
              <w:rPr>
                <w:rFonts w:ascii="Times New Roman" w:hAnsi="Times New Roman" w:cs="Times New Roman"/>
                <w:i/>
                <w:sz w:val="18"/>
                <w:szCs w:val="18"/>
                <w:vertAlign w:val="superscript"/>
                <w:lang w:val="pt-BR"/>
              </w:rPr>
              <w:t>d</w:t>
            </w: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26.9 </w:t>
            </w:r>
            <w:r w:rsidRPr="00907527">
              <w:rPr>
                <w:rFonts w:ascii="Times New Roman" w:hAnsi="Times New Roman" w:cs="Times New Roman"/>
                <w:i/>
                <w:sz w:val="18"/>
                <w:szCs w:val="18"/>
                <w:vertAlign w:val="superscript"/>
                <w:lang w:val="pt-BR"/>
              </w:rPr>
              <w:t>d</w:t>
            </w: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20.3 </w:t>
            </w:r>
            <w:r w:rsidRPr="00907527">
              <w:rPr>
                <w:rFonts w:ascii="Times New Roman" w:hAnsi="Times New Roman" w:cs="Times New Roman"/>
                <w:sz w:val="18"/>
                <w:szCs w:val="18"/>
                <w:vertAlign w:val="superscript"/>
                <w:lang w:val="pt-BR"/>
              </w:rPr>
              <w:t>b</w:t>
            </w: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25.5 </w:t>
            </w:r>
            <w:r w:rsidRPr="00907527">
              <w:rPr>
                <w:rFonts w:ascii="Times New Roman" w:hAnsi="Times New Roman" w:cs="Times New Roman"/>
                <w:i/>
                <w:sz w:val="18"/>
                <w:szCs w:val="18"/>
                <w:vertAlign w:val="superscript"/>
                <w:lang w:val="pt-BR"/>
              </w:rPr>
              <w:t>d</w:t>
            </w: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26.5 </w:t>
            </w:r>
            <w:r w:rsidRPr="00907527">
              <w:rPr>
                <w:rFonts w:ascii="Times New Roman" w:hAnsi="Times New Roman" w:cs="Times New Roman"/>
                <w:i/>
                <w:sz w:val="18"/>
                <w:szCs w:val="18"/>
                <w:vertAlign w:val="superscript"/>
                <w:lang w:val="pt-BR"/>
              </w:rPr>
              <w:t>d</w:t>
            </w:r>
          </w:p>
          <w:p w:rsidR="00633BD2" w:rsidRPr="00907527" w:rsidRDefault="00633BD2" w:rsidP="00633BD2">
            <w:pPr>
              <w:spacing w:line="276" w:lineRule="auto"/>
              <w:jc w:val="center"/>
              <w:rPr>
                <w:rFonts w:ascii="Times New Roman" w:hAnsi="Times New Roman" w:cs="Times New Roman"/>
                <w:sz w:val="18"/>
                <w:szCs w:val="18"/>
                <w:lang w:val="pt-BR"/>
              </w:rPr>
            </w:pPr>
            <w:r w:rsidRPr="00907527">
              <w:rPr>
                <w:rFonts w:ascii="Times New Roman" w:hAnsi="Times New Roman" w:cs="Times New Roman"/>
                <w:sz w:val="18"/>
                <w:szCs w:val="18"/>
                <w:lang w:val="pt-BR"/>
              </w:rPr>
              <w:t xml:space="preserve">16.9 </w:t>
            </w:r>
            <w:r w:rsidRPr="00907527">
              <w:rPr>
                <w:rFonts w:ascii="Times New Roman" w:hAnsi="Times New Roman" w:cs="Times New Roman"/>
                <w:sz w:val="18"/>
                <w:szCs w:val="18"/>
                <w:vertAlign w:val="superscript"/>
                <w:lang w:val="pt-BR"/>
              </w:rPr>
              <w:t>b</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17.0 </w:t>
            </w:r>
            <w:r w:rsidRPr="00907527">
              <w:rPr>
                <w:rFonts w:ascii="Times New Roman" w:hAnsi="Times New Roman" w:cs="Times New Roman"/>
                <w:sz w:val="18"/>
                <w:szCs w:val="18"/>
                <w:vertAlign w:val="superscript"/>
              </w:rPr>
              <w:t>b</w:t>
            </w:r>
          </w:p>
          <w:p w:rsidR="00633BD2" w:rsidRPr="00907527" w:rsidRDefault="00633BD2" w:rsidP="00633BD2">
            <w:pPr>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            </w:t>
            </w:r>
            <w:r w:rsidR="00907527">
              <w:rPr>
                <w:rFonts w:ascii="Times New Roman" w:hAnsi="Times New Roman" w:cs="Times New Roman"/>
                <w:sz w:val="18"/>
                <w:szCs w:val="18"/>
              </w:rPr>
              <w:t xml:space="preserve">    </w:t>
            </w:r>
            <w:r w:rsidRPr="00907527">
              <w:rPr>
                <w:rFonts w:ascii="Times New Roman" w:hAnsi="Times New Roman" w:cs="Times New Roman"/>
                <w:sz w:val="18"/>
                <w:szCs w:val="18"/>
              </w:rPr>
              <w:t xml:space="preserve">  15.0                      </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22.9 </w:t>
            </w:r>
            <w:r w:rsidRPr="00907527">
              <w:rPr>
                <w:rFonts w:ascii="Times New Roman" w:hAnsi="Times New Roman" w:cs="Times New Roman"/>
                <w:i/>
                <w:sz w:val="18"/>
                <w:szCs w:val="18"/>
                <w:vertAlign w:val="superscript"/>
              </w:rPr>
              <w:t>d</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APR-DRG Severity of Illness (n = 3,946)</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Minor</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Moderate</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Major</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Extreme </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 xml:space="preserve">318 </w:t>
            </w:r>
            <w:proofErr w:type="gramStart"/>
            <w:r w:rsidRPr="00907527">
              <w:rPr>
                <w:rFonts w:ascii="Times New Roman" w:hAnsi="Times New Roman" w:cs="Times New Roman"/>
                <w:sz w:val="18"/>
                <w:szCs w:val="18"/>
              </w:rPr>
              <w:t>(  8.1</w:t>
            </w:r>
            <w:proofErr w:type="gramEnd"/>
            <w:r w:rsidRPr="00907527">
              <w:rPr>
                <w:rFonts w:ascii="Times New Roman" w:hAnsi="Times New Roman" w:cs="Times New Roman"/>
                <w:sz w:val="18"/>
                <w:szCs w:val="18"/>
              </w:rPr>
              <w:t>)</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1,072 (27.2)</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1,706 (43.2)</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852 (21.6)</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rPr>
            </w:pP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10.7 </w:t>
            </w:r>
            <w:r w:rsidRPr="00907527">
              <w:rPr>
                <w:rFonts w:ascii="Times New Roman" w:hAnsi="Times New Roman" w:cs="Times New Roman"/>
                <w:i/>
                <w:sz w:val="18"/>
                <w:szCs w:val="18"/>
                <w:vertAlign w:val="superscript"/>
              </w:rPr>
              <w:t>c</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10.4 </w:t>
            </w:r>
            <w:r w:rsidRPr="00907527">
              <w:rPr>
                <w:rFonts w:ascii="Times New Roman" w:hAnsi="Times New Roman" w:cs="Times New Roman"/>
                <w:i/>
                <w:sz w:val="18"/>
                <w:szCs w:val="18"/>
                <w:vertAlign w:val="superscript"/>
              </w:rPr>
              <w:t>c</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21.6 </w:t>
            </w:r>
            <w:r w:rsidRPr="00907527">
              <w:rPr>
                <w:rFonts w:ascii="Times New Roman" w:hAnsi="Times New Roman" w:cs="Times New Roman"/>
                <w:i/>
                <w:sz w:val="18"/>
                <w:szCs w:val="18"/>
                <w:vertAlign w:val="superscript"/>
              </w:rPr>
              <w:t>d</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29.8 </w:t>
            </w:r>
            <w:r w:rsidRPr="00907527">
              <w:rPr>
                <w:rFonts w:ascii="Times New Roman" w:hAnsi="Times New Roman" w:cs="Times New Roman"/>
                <w:i/>
                <w:sz w:val="18"/>
                <w:szCs w:val="18"/>
                <w:vertAlign w:val="superscript"/>
              </w:rPr>
              <w:t>e</w:t>
            </w:r>
          </w:p>
        </w:tc>
      </w:tr>
      <w:tr w:rsidR="00633BD2" w:rsidRPr="00907527" w:rsidTr="007F0AAE">
        <w:tc>
          <w:tcPr>
            <w:tcW w:w="4045" w:type="dxa"/>
            <w:tcBorders>
              <w:top w:val="single" w:sz="4" w:space="0" w:color="auto"/>
              <w:bottom w:val="single" w:sz="4" w:space="0" w:color="auto"/>
            </w:tcBorders>
          </w:tcPr>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Index hospitalization length of stay</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1 to 3 days</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4 to 5 days</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6 to 9 days</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sz w:val="19"/>
                <w:szCs w:val="19"/>
              </w:rPr>
              <w:t xml:space="preserve">     &gt; 9 days</w:t>
            </w:r>
          </w:p>
        </w:tc>
        <w:tc>
          <w:tcPr>
            <w:tcW w:w="2250" w:type="dxa"/>
            <w:tcBorders>
              <w:top w:val="single" w:sz="4" w:space="0" w:color="auto"/>
              <w:bottom w:val="single" w:sz="4" w:space="0" w:color="auto"/>
            </w:tcBorders>
            <w:shd w:val="clear" w:color="auto" w:fill="auto"/>
          </w:tcPr>
          <w:p w:rsidR="00633BD2" w:rsidRPr="00907527" w:rsidRDefault="00633BD2" w:rsidP="00633BD2">
            <w:pPr>
              <w:tabs>
                <w:tab w:val="decimal" w:pos="882"/>
              </w:tabs>
              <w:spacing w:line="276" w:lineRule="auto"/>
              <w:rPr>
                <w:rFonts w:ascii="Times New Roman" w:hAnsi="Times New Roman" w:cs="Times New Roman"/>
                <w:sz w:val="18"/>
                <w:szCs w:val="18"/>
              </w:rPr>
            </w:pP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992 (25.1)</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965 (24.4)</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1,062 (26.9)</w:t>
            </w:r>
          </w:p>
          <w:p w:rsidR="00633BD2" w:rsidRPr="00907527" w:rsidRDefault="00633BD2" w:rsidP="00633BD2">
            <w:pPr>
              <w:tabs>
                <w:tab w:val="decimal" w:pos="882"/>
              </w:tabs>
              <w:spacing w:line="276" w:lineRule="auto"/>
              <w:rPr>
                <w:rFonts w:ascii="Times New Roman" w:hAnsi="Times New Roman" w:cs="Times New Roman"/>
                <w:sz w:val="18"/>
                <w:szCs w:val="18"/>
              </w:rPr>
            </w:pPr>
            <w:r w:rsidRPr="00907527">
              <w:rPr>
                <w:rFonts w:ascii="Times New Roman" w:hAnsi="Times New Roman" w:cs="Times New Roman"/>
                <w:sz w:val="18"/>
                <w:szCs w:val="18"/>
              </w:rPr>
              <w:t>932 (23.6)</w:t>
            </w:r>
          </w:p>
        </w:tc>
        <w:tc>
          <w:tcPr>
            <w:tcW w:w="2250" w:type="dxa"/>
            <w:tcBorders>
              <w:top w:val="single" w:sz="4" w:space="0" w:color="auto"/>
              <w:bottom w:val="single" w:sz="4" w:space="0" w:color="auto"/>
            </w:tcBorders>
          </w:tcPr>
          <w:p w:rsidR="00633BD2" w:rsidRPr="00907527" w:rsidRDefault="00633BD2" w:rsidP="00633BD2">
            <w:pPr>
              <w:spacing w:line="276" w:lineRule="auto"/>
              <w:jc w:val="center"/>
              <w:rPr>
                <w:rFonts w:ascii="Times New Roman" w:hAnsi="Times New Roman" w:cs="Times New Roman"/>
                <w:sz w:val="18"/>
                <w:szCs w:val="18"/>
              </w:rPr>
            </w:pP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12.6</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  15.1</w:t>
            </w:r>
            <w:r w:rsidRPr="00907527">
              <w:rPr>
                <w:rFonts w:ascii="Times New Roman" w:hAnsi="Times New Roman" w:cs="Times New Roman"/>
                <w:i/>
                <w:sz w:val="18"/>
                <w:szCs w:val="18"/>
                <w:vertAlign w:val="superscript"/>
              </w:rPr>
              <w:t xml:space="preserve"> c</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  20.7</w:t>
            </w:r>
            <w:r w:rsidRPr="00907527">
              <w:rPr>
                <w:rFonts w:ascii="Times New Roman" w:hAnsi="Times New Roman" w:cs="Times New Roman"/>
                <w:i/>
                <w:sz w:val="18"/>
                <w:szCs w:val="18"/>
                <w:vertAlign w:val="superscript"/>
              </w:rPr>
              <w:t xml:space="preserve"> d</w:t>
            </w:r>
          </w:p>
          <w:p w:rsidR="00633BD2" w:rsidRPr="00907527" w:rsidRDefault="00633BD2" w:rsidP="00633BD2">
            <w:pPr>
              <w:spacing w:line="276" w:lineRule="auto"/>
              <w:jc w:val="center"/>
              <w:rPr>
                <w:rFonts w:ascii="Times New Roman" w:hAnsi="Times New Roman" w:cs="Times New Roman"/>
                <w:sz w:val="18"/>
                <w:szCs w:val="18"/>
              </w:rPr>
            </w:pPr>
            <w:r w:rsidRPr="00907527">
              <w:rPr>
                <w:rFonts w:ascii="Times New Roman" w:hAnsi="Times New Roman" w:cs="Times New Roman"/>
                <w:sz w:val="18"/>
                <w:szCs w:val="18"/>
              </w:rPr>
              <w:t xml:space="preserve">  29.8</w:t>
            </w:r>
            <w:r w:rsidRPr="00907527">
              <w:rPr>
                <w:rFonts w:ascii="Times New Roman" w:hAnsi="Times New Roman" w:cs="Times New Roman"/>
                <w:i/>
                <w:sz w:val="18"/>
                <w:szCs w:val="18"/>
                <w:vertAlign w:val="superscript"/>
              </w:rPr>
              <w:t xml:space="preserve"> e</w:t>
            </w:r>
          </w:p>
        </w:tc>
      </w:tr>
      <w:tr w:rsidR="00633BD2" w:rsidRPr="00907527" w:rsidTr="007F0AAE">
        <w:tc>
          <w:tcPr>
            <w:tcW w:w="8545" w:type="dxa"/>
            <w:gridSpan w:val="3"/>
            <w:tcBorders>
              <w:top w:val="single" w:sz="4" w:space="0" w:color="auto"/>
            </w:tcBorders>
          </w:tcPr>
          <w:p w:rsidR="00633BD2" w:rsidRPr="00A0260A" w:rsidRDefault="00633BD2" w:rsidP="00633BD2">
            <w:pPr>
              <w:spacing w:line="276" w:lineRule="auto"/>
              <w:rPr>
                <w:rFonts w:ascii="Times New Roman" w:hAnsi="Times New Roman" w:cs="Times New Roman"/>
                <w:sz w:val="16"/>
                <w:szCs w:val="19"/>
              </w:rPr>
            </w:pPr>
            <w:r w:rsidRPr="00A0260A">
              <w:rPr>
                <w:rFonts w:ascii="Times New Roman" w:hAnsi="Times New Roman" w:cs="Times New Roman"/>
                <w:sz w:val="16"/>
                <w:szCs w:val="19"/>
              </w:rPr>
              <w:t>Totals may not add to 100% due to rounding.</w:t>
            </w:r>
          </w:p>
          <w:p w:rsidR="00633BD2" w:rsidRPr="00A0260A" w:rsidRDefault="00633BD2" w:rsidP="00633BD2">
            <w:pPr>
              <w:spacing w:line="276" w:lineRule="auto"/>
              <w:rPr>
                <w:rFonts w:ascii="Times New Roman" w:hAnsi="Times New Roman" w:cs="Times New Roman"/>
                <w:sz w:val="16"/>
                <w:szCs w:val="19"/>
              </w:rPr>
            </w:pPr>
            <w:r w:rsidRPr="00A0260A">
              <w:rPr>
                <w:rFonts w:ascii="Times New Roman" w:hAnsi="Times New Roman" w:cs="Times New Roman"/>
                <w:i/>
                <w:sz w:val="16"/>
                <w:szCs w:val="19"/>
              </w:rPr>
              <w:t>a</w:t>
            </w:r>
            <w:r w:rsidRPr="00A0260A">
              <w:rPr>
                <w:rFonts w:ascii="Times New Roman" w:hAnsi="Times New Roman" w:cs="Times New Roman"/>
                <w:sz w:val="16"/>
                <w:szCs w:val="19"/>
                <w:vertAlign w:val="superscript"/>
              </w:rPr>
              <w:t xml:space="preserve"> </w:t>
            </w:r>
            <w:r w:rsidRPr="00A0260A">
              <w:rPr>
                <w:rFonts w:ascii="Times New Roman" w:hAnsi="Times New Roman" w:cs="Times New Roman"/>
                <w:sz w:val="16"/>
                <w:szCs w:val="19"/>
              </w:rPr>
              <w:t xml:space="preserve">differs from </w:t>
            </w:r>
            <w:r w:rsidRPr="00A0260A">
              <w:rPr>
                <w:rFonts w:ascii="Times New Roman" w:hAnsi="Times New Roman" w:cs="Times New Roman"/>
                <w:i/>
                <w:sz w:val="16"/>
                <w:szCs w:val="19"/>
              </w:rPr>
              <w:t>b</w:t>
            </w:r>
            <w:r w:rsidRPr="00A0260A">
              <w:rPr>
                <w:rFonts w:ascii="Times New Roman" w:hAnsi="Times New Roman" w:cs="Times New Roman"/>
                <w:sz w:val="16"/>
                <w:szCs w:val="19"/>
              </w:rPr>
              <w:t xml:space="preserve"> at p &lt; 0.05</w:t>
            </w:r>
          </w:p>
          <w:p w:rsidR="00633BD2" w:rsidRPr="00A0260A" w:rsidRDefault="00633BD2" w:rsidP="00633BD2">
            <w:pPr>
              <w:spacing w:line="276" w:lineRule="auto"/>
              <w:rPr>
                <w:rFonts w:ascii="Times New Roman" w:hAnsi="Times New Roman" w:cs="Times New Roman"/>
                <w:sz w:val="19"/>
                <w:szCs w:val="19"/>
              </w:rPr>
            </w:pPr>
            <w:r w:rsidRPr="00A0260A">
              <w:rPr>
                <w:rFonts w:ascii="Times New Roman" w:hAnsi="Times New Roman" w:cs="Times New Roman"/>
                <w:i/>
                <w:sz w:val="16"/>
                <w:szCs w:val="19"/>
              </w:rPr>
              <w:t xml:space="preserve">c, d </w:t>
            </w:r>
            <w:r w:rsidRPr="00A0260A">
              <w:rPr>
                <w:rFonts w:ascii="Times New Roman" w:hAnsi="Times New Roman" w:cs="Times New Roman"/>
                <w:sz w:val="16"/>
                <w:szCs w:val="19"/>
              </w:rPr>
              <w:t>and</w:t>
            </w:r>
            <w:r w:rsidRPr="00A0260A">
              <w:rPr>
                <w:rFonts w:ascii="Times New Roman" w:hAnsi="Times New Roman" w:cs="Times New Roman"/>
                <w:i/>
                <w:sz w:val="16"/>
                <w:szCs w:val="19"/>
              </w:rPr>
              <w:t xml:space="preserve"> e </w:t>
            </w:r>
            <w:r w:rsidRPr="00A0260A">
              <w:rPr>
                <w:rFonts w:ascii="Times New Roman" w:hAnsi="Times New Roman" w:cs="Times New Roman"/>
                <w:sz w:val="16"/>
                <w:szCs w:val="19"/>
              </w:rPr>
              <w:t>differ from each other at p &lt; 0.001</w:t>
            </w:r>
          </w:p>
        </w:tc>
      </w:tr>
    </w:tbl>
    <w:p w:rsidR="005F4D4C" w:rsidRDefault="005F4D4C" w:rsidP="00C02A6E">
      <w:pPr>
        <w:pStyle w:val="BodyText"/>
        <w:rPr>
          <w:rFonts w:ascii="Times New Roman" w:hAnsi="Times New Roman" w:cs="Times New Roman"/>
        </w:rPr>
      </w:pPr>
      <w:r>
        <w:rPr>
          <w:rFonts w:ascii="Times New Roman" w:hAnsi="Times New Roman" w:cs="Times New Roman"/>
        </w:rPr>
        <w:lastRenderedPageBreak/>
        <w:t>RESULTS OF STRATIFIED ANALYSES</w:t>
      </w:r>
    </w:p>
    <w:p w:rsidR="005F4D4C" w:rsidRPr="003D49BB" w:rsidRDefault="003D1D18" w:rsidP="00835FE0">
      <w:pPr>
        <w:spacing w:after="120" w:line="276" w:lineRule="auto"/>
        <w:rPr>
          <w:rFonts w:ascii="Times New Roman" w:hAnsi="Times New Roman" w:cs="Times New Roman"/>
        </w:rPr>
      </w:pPr>
      <w:r>
        <w:rPr>
          <w:rFonts w:ascii="Times New Roman" w:hAnsi="Times New Roman" w:cs="Times New Roman"/>
        </w:rPr>
        <w:t>The mul</w:t>
      </w:r>
      <w:r w:rsidR="005F4D4C">
        <w:rPr>
          <w:rFonts w:ascii="Times New Roman" w:hAnsi="Times New Roman" w:cs="Times New Roman"/>
        </w:rPr>
        <w:t xml:space="preserve">tivariate logistic regression was </w:t>
      </w:r>
      <w:r>
        <w:rPr>
          <w:rFonts w:ascii="Times New Roman" w:hAnsi="Times New Roman" w:cs="Times New Roman"/>
        </w:rPr>
        <w:t xml:space="preserve">repeated within specific strata of the study population as a further test of whether the results were affected by differences in the ECP and non-ECP patient characteristics. When the analysis was </w:t>
      </w:r>
      <w:r w:rsidR="005F4D4C">
        <w:rPr>
          <w:rFonts w:ascii="Times New Roman" w:hAnsi="Times New Roman" w:cs="Times New Roman"/>
        </w:rPr>
        <w:t>restricted to</w:t>
      </w:r>
      <w:r w:rsidR="005F4D4C" w:rsidRPr="003D49BB">
        <w:rPr>
          <w:rFonts w:ascii="Times New Roman" w:hAnsi="Times New Roman" w:cs="Times New Roman"/>
        </w:rPr>
        <w:t xml:space="preserve"> Dual Eligible patients (n = 1,683), the odds ratio for ECP was 0.77 (95% CI 0.60 – 0.99; p = 0.042). The total population included only 751 African American patients, but even so, the odds ratio was 0.71 with p = 0.064 (95% CI 0.49 – 1.02). Considering only patients who were not admitted to the highest volume facility (n = 1,988), the program odds ratio was 0.75 (p = 0.015, 95% CI 0.60 - 0.95). Finally, considering patients who had any condition other than orthopedic surgery (n = 2,912), the odds ratio was 0.73 (p = 0.001, 95% CI 0.61 – 0.88). Similar results were obtained when the study population was restricted to patients living within the medical center’s primary service area, and to patients living in zip codes in which the proportion of adults living in households with income below 100% of the poverty level was 15% or greater. </w:t>
      </w:r>
    </w:p>
    <w:p w:rsidR="005F4D4C" w:rsidRDefault="005F4D4C" w:rsidP="00C02A6E">
      <w:pPr>
        <w:pStyle w:val="BodyText"/>
        <w:rPr>
          <w:rFonts w:ascii="Times New Roman" w:hAnsi="Times New Roman" w:cs="Times New Roman"/>
        </w:rPr>
      </w:pPr>
    </w:p>
    <w:p w:rsidR="00C02A6E" w:rsidRPr="003D49BB" w:rsidRDefault="00BF5732" w:rsidP="00C02A6E">
      <w:pPr>
        <w:pStyle w:val="BodyText"/>
        <w:rPr>
          <w:rFonts w:ascii="Times New Roman" w:hAnsi="Times New Roman" w:cs="Times New Roman"/>
        </w:rPr>
      </w:pPr>
      <w:r>
        <w:rPr>
          <w:rFonts w:ascii="Times New Roman" w:hAnsi="Times New Roman" w:cs="Times New Roman"/>
        </w:rPr>
        <w:t>PROPENSITY ANALYSIS</w:t>
      </w:r>
    </w:p>
    <w:p w:rsidR="00BF5732" w:rsidRDefault="00BF5732" w:rsidP="00BF5732">
      <w:pPr>
        <w:pStyle w:val="BodyText"/>
        <w:rPr>
          <w:rFonts w:ascii="Times New Roman" w:hAnsi="Times New Roman" w:cs="Times New Roman"/>
        </w:rPr>
      </w:pPr>
      <w:r w:rsidRPr="00BF5732">
        <w:rPr>
          <w:rFonts w:ascii="Times New Roman" w:hAnsi="Times New Roman" w:cs="Times New Roman"/>
          <w:i/>
        </w:rPr>
        <w:t>Methodology</w:t>
      </w:r>
      <w:r>
        <w:rPr>
          <w:rFonts w:ascii="Times New Roman" w:hAnsi="Times New Roman" w:cs="Times New Roman"/>
        </w:rPr>
        <w:t xml:space="preserve">: </w:t>
      </w:r>
    </w:p>
    <w:p w:rsidR="009433EA" w:rsidRPr="003D49BB" w:rsidRDefault="009433EA" w:rsidP="00835FE0">
      <w:pPr>
        <w:pStyle w:val="BodyText"/>
        <w:spacing w:line="276" w:lineRule="auto"/>
        <w:rPr>
          <w:rFonts w:ascii="Times New Roman" w:hAnsi="Times New Roman" w:cs="Times New Roman"/>
        </w:rPr>
      </w:pPr>
      <w:r w:rsidRPr="003D49BB">
        <w:rPr>
          <w:rFonts w:ascii="Times New Roman" w:hAnsi="Times New Roman" w:cs="Times New Roman"/>
        </w:rPr>
        <w:t xml:space="preserve">Likelihood ratio tests were performed to verify if the clusters Skilled Nursing Facilities (SNF) and Payers explained a significant amount of variability. </w:t>
      </w:r>
    </w:p>
    <w:p w:rsidR="009433EA" w:rsidRPr="003D49BB" w:rsidRDefault="009433EA" w:rsidP="00835FE0">
      <w:pPr>
        <w:pStyle w:val="BodyText"/>
        <w:spacing w:line="276" w:lineRule="auto"/>
        <w:rPr>
          <w:rFonts w:ascii="Times New Roman" w:hAnsi="Times New Roman" w:cs="Times New Roman"/>
        </w:rPr>
      </w:pPr>
      <w:r w:rsidRPr="003D49BB">
        <w:rPr>
          <w:rFonts w:ascii="Times New Roman" w:hAnsi="Times New Roman" w:cs="Times New Roman"/>
        </w:rPr>
        <w:t xml:space="preserve">A multivariable logistic mixed model considering only SNF as clusters was applied to predict the group (ECP group compared to non-ECP group) after adjusting for </w:t>
      </w:r>
      <w:r w:rsidR="002D5924" w:rsidRPr="003D49BB">
        <w:rPr>
          <w:rFonts w:ascii="Times New Roman" w:hAnsi="Times New Roman" w:cs="Times New Roman"/>
        </w:rPr>
        <w:t>Age, Gender, R</w:t>
      </w:r>
      <w:r w:rsidRPr="003D49BB">
        <w:rPr>
          <w:rFonts w:ascii="Times New Roman" w:hAnsi="Times New Roman" w:cs="Times New Roman"/>
        </w:rPr>
        <w:t xml:space="preserve">ace, </w:t>
      </w:r>
      <w:r w:rsidR="002D5924" w:rsidRPr="003D49BB">
        <w:rPr>
          <w:rFonts w:ascii="Times New Roman" w:hAnsi="Times New Roman" w:cs="Times New Roman"/>
        </w:rPr>
        <w:t>Preferred Language</w:t>
      </w:r>
      <w:r w:rsidRPr="003D49BB">
        <w:rPr>
          <w:rFonts w:ascii="Times New Roman" w:hAnsi="Times New Roman" w:cs="Times New Roman"/>
        </w:rPr>
        <w:t xml:space="preserve">, </w:t>
      </w:r>
      <w:r w:rsidR="002D5924" w:rsidRPr="003D49BB">
        <w:rPr>
          <w:rFonts w:ascii="Times New Roman" w:hAnsi="Times New Roman" w:cs="Times New Roman"/>
        </w:rPr>
        <w:t>P</w:t>
      </w:r>
      <w:r w:rsidRPr="003D49BB">
        <w:rPr>
          <w:rFonts w:ascii="Times New Roman" w:hAnsi="Times New Roman" w:cs="Times New Roman"/>
        </w:rPr>
        <w:t>ay</w:t>
      </w:r>
      <w:r w:rsidR="002D5924" w:rsidRPr="003D49BB">
        <w:rPr>
          <w:rFonts w:ascii="Times New Roman" w:hAnsi="Times New Roman" w:cs="Times New Roman"/>
        </w:rPr>
        <w:t>er, Hospital Clinical Service Line, APR-</w:t>
      </w:r>
      <w:r w:rsidRPr="003D49BB">
        <w:rPr>
          <w:rFonts w:ascii="Times New Roman" w:hAnsi="Times New Roman" w:cs="Times New Roman"/>
        </w:rPr>
        <w:t>DRG</w:t>
      </w:r>
      <w:r w:rsidR="002D5924" w:rsidRPr="003D49BB">
        <w:rPr>
          <w:rFonts w:ascii="Times New Roman" w:hAnsi="Times New Roman" w:cs="Times New Roman"/>
        </w:rPr>
        <w:t xml:space="preserve"> </w:t>
      </w:r>
      <w:r w:rsidRPr="003D49BB">
        <w:rPr>
          <w:rFonts w:ascii="Times New Roman" w:hAnsi="Times New Roman" w:cs="Times New Roman"/>
        </w:rPr>
        <w:t>Severity</w:t>
      </w:r>
      <w:r w:rsidR="002D5924" w:rsidRPr="003D49BB">
        <w:rPr>
          <w:rFonts w:ascii="Times New Roman" w:hAnsi="Times New Roman" w:cs="Times New Roman"/>
        </w:rPr>
        <w:t xml:space="preserve"> and Index Hospital Length of Stay</w:t>
      </w:r>
      <w:r w:rsidRPr="003D49BB">
        <w:rPr>
          <w:rFonts w:ascii="Times New Roman" w:hAnsi="Times New Roman" w:cs="Times New Roman"/>
        </w:rPr>
        <w:t>.</w:t>
      </w:r>
    </w:p>
    <w:p w:rsidR="00AF2C64" w:rsidRPr="003D49BB" w:rsidRDefault="009433EA" w:rsidP="00835FE0">
      <w:pPr>
        <w:pStyle w:val="BodyText"/>
        <w:spacing w:line="276" w:lineRule="auto"/>
        <w:rPr>
          <w:rFonts w:ascii="Times New Roman" w:hAnsi="Times New Roman" w:cs="Times New Roman"/>
        </w:rPr>
      </w:pPr>
      <w:r w:rsidRPr="003D49BB">
        <w:rPr>
          <w:rFonts w:ascii="Times New Roman" w:hAnsi="Times New Roman" w:cs="Times New Roman"/>
        </w:rPr>
        <w:t>Balance in baseline covariates were assessed using standardized absolute differences (%) as suggested by Austin</w:t>
      </w:r>
      <w:r w:rsidR="002A49B6" w:rsidRPr="003D49BB">
        <w:rPr>
          <w:rFonts w:ascii="Times New Roman" w:hAnsi="Times New Roman" w:cs="Times New Roman"/>
        </w:rPr>
        <w:t xml:space="preserve"> and Stuart</w:t>
      </w:r>
      <w:r w:rsidRPr="003D49BB">
        <w:rPr>
          <w:rFonts w:ascii="Times New Roman" w:hAnsi="Times New Roman" w:cs="Times New Roman"/>
        </w:rPr>
        <w:t xml:space="preserve"> (20</w:t>
      </w:r>
      <w:r w:rsidR="002D5924" w:rsidRPr="003D49BB">
        <w:rPr>
          <w:rFonts w:ascii="Times New Roman" w:hAnsi="Times New Roman" w:cs="Times New Roman"/>
        </w:rPr>
        <w:t>15</w:t>
      </w:r>
      <w:r w:rsidR="00AF2C64" w:rsidRPr="003D49BB">
        <w:rPr>
          <w:rFonts w:ascii="Times New Roman" w:hAnsi="Times New Roman" w:cs="Times New Roman"/>
        </w:rPr>
        <w:t>), but the methodology is extended to incorporate cluster weights.</w:t>
      </w:r>
    </w:p>
    <w:p w:rsidR="00C02A6E" w:rsidRPr="003D49BB" w:rsidRDefault="00C02A6E" w:rsidP="00C02A6E">
      <w:pPr>
        <w:pStyle w:val="FirstParagraph"/>
        <w:rPr>
          <w:rFonts w:ascii="Times New Roman" w:hAnsi="Times New Roman" w:cs="Times New Roman"/>
          <w:sz w:val="22"/>
          <w:szCs w:val="22"/>
        </w:rPr>
      </w:pPr>
      <w:r w:rsidRPr="003D49BB">
        <w:rPr>
          <w:rFonts w:ascii="Times New Roman" w:hAnsi="Times New Roman" w:cs="Times New Roman"/>
          <w:sz w:val="22"/>
          <w:szCs w:val="22"/>
        </w:rPr>
        <w:t xml:space="preserve">The standardized difference for a binary variable within the cluster </w:t>
      </w:r>
      <m:oMath>
        <m:r>
          <w:rPr>
            <w:rFonts w:ascii="Cambria Math" w:hAnsi="Cambria Math" w:cs="Times New Roman"/>
            <w:sz w:val="22"/>
            <w:szCs w:val="22"/>
          </w:rPr>
          <m:t>h</m:t>
        </m:r>
      </m:oMath>
      <w:r w:rsidRPr="003D49BB">
        <w:rPr>
          <w:rFonts w:ascii="Times New Roman" w:hAnsi="Times New Roman" w:cs="Times New Roman"/>
          <w:sz w:val="22"/>
          <w:szCs w:val="22"/>
        </w:rPr>
        <w:t xml:space="preserve"> is defined as</w:t>
      </w:r>
    </w:p>
    <w:p w:rsidR="00C02A6E" w:rsidRPr="003D49BB" w:rsidRDefault="00617A47" w:rsidP="00C02A6E">
      <w:pPr>
        <w:pStyle w:val="BodyText"/>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h</m:t>
              </m:r>
            </m:sub>
          </m:sSub>
          <m: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p</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p</m:t>
                      </m:r>
                    </m:e>
                  </m:acc>
                </m:e>
                <m:sub>
                  <m:r>
                    <w:rPr>
                      <w:rFonts w:ascii="Cambria Math" w:hAnsi="Cambria Math" w:cs="Times New Roman"/>
                    </w:rPr>
                    <m:t>C</m:t>
                  </m:r>
                </m:sub>
              </m:sSub>
            </m:num>
            <m:den>
              <m:rad>
                <m:radPr>
                  <m:degHide m:val="1"/>
                  <m:ctrlPr>
                    <w:rPr>
                      <w:rFonts w:ascii="Cambria Math" w:hAnsi="Cambria Math" w:cs="Times New Roman"/>
                    </w:rPr>
                  </m:ctrlPr>
                </m:radPr>
                <m:deg/>
                <m:e>
                  <m:f>
                    <m:fPr>
                      <m:ctrlPr>
                        <w:rPr>
                          <w:rFonts w:ascii="Cambria Math" w:hAnsi="Cambria Math" w:cs="Times New Roman"/>
                        </w:rPr>
                      </m:ctrlPr>
                    </m:fPr>
                    <m:num>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p</m:t>
                              </m:r>
                            </m:e>
                          </m:acc>
                        </m:e>
                        <m:sub>
                          <m:r>
                            <w:rPr>
                              <w:rFonts w:ascii="Cambria Math" w:hAnsi="Cambria Math" w:cs="Times New Roman"/>
                            </w:rPr>
                            <m:t>T</m:t>
                          </m:r>
                        </m:sub>
                      </m:sSub>
                      <m:r>
                        <w:rPr>
                          <w:rFonts w:ascii="Cambria Math" w:hAnsi="Cambria Math" w:cs="Times New Roman"/>
                        </w:rPr>
                        <m:t>(1-</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p</m:t>
                              </m:r>
                            </m:e>
                          </m:ac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p</m:t>
                              </m:r>
                            </m:e>
                          </m:acc>
                        </m:e>
                        <m:sub>
                          <m:r>
                            <w:rPr>
                              <w:rFonts w:ascii="Cambria Math" w:hAnsi="Cambria Math" w:cs="Times New Roman"/>
                            </w:rPr>
                            <m:t>C</m:t>
                          </m:r>
                        </m:sub>
                      </m:sSub>
                      <m:r>
                        <w:rPr>
                          <w:rFonts w:ascii="Cambria Math" w:hAnsi="Cambria Math" w:cs="Times New Roman"/>
                        </w:rPr>
                        <m:t>(1-</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p</m:t>
                              </m:r>
                            </m:e>
                          </m:acc>
                        </m:e>
                        <m:sub>
                          <m:r>
                            <w:rPr>
                              <w:rFonts w:ascii="Cambria Math" w:hAnsi="Cambria Math" w:cs="Times New Roman"/>
                            </w:rPr>
                            <m:t>C</m:t>
                          </m:r>
                        </m:sub>
                      </m:sSub>
                      <m:r>
                        <w:rPr>
                          <w:rFonts w:ascii="Cambria Math" w:hAnsi="Cambria Math" w:cs="Times New Roman"/>
                        </w:rPr>
                        <m:t>)</m:t>
                      </m:r>
                    </m:num>
                    <m:den>
                      <m:r>
                        <w:rPr>
                          <w:rFonts w:ascii="Cambria Math" w:hAnsi="Cambria Math" w:cs="Times New Roman"/>
                        </w:rPr>
                        <m:t>2</m:t>
                      </m:r>
                    </m:den>
                  </m:f>
                </m:e>
              </m:rad>
            </m:den>
          </m:f>
        </m:oMath>
      </m:oMathPara>
    </w:p>
    <w:p w:rsidR="00C02A6E" w:rsidRPr="003D49BB" w:rsidRDefault="00C02A6E" w:rsidP="00C02A6E">
      <w:pPr>
        <w:pStyle w:val="BodyText"/>
        <w:rPr>
          <w:rFonts w:ascii="Times New Roman" w:hAnsi="Times New Roman" w:cs="Times New Roman"/>
        </w:rPr>
      </w:pPr>
      <w:r w:rsidRPr="003D49BB">
        <w:rPr>
          <w:rFonts w:ascii="Times New Roman" w:hAnsi="Times New Roman" w:cs="Times New Roman"/>
        </w:rPr>
        <w:t xml:space="preserve">for </w:t>
      </w:r>
      <m:oMath>
        <m:r>
          <w:rPr>
            <w:rFonts w:ascii="Cambria Math" w:hAnsi="Cambria Math" w:cs="Times New Roman"/>
          </w:rPr>
          <m:t>i=1,...,nc</m:t>
        </m:r>
      </m:oMath>
      <w:r w:rsidRPr="003D49BB">
        <w:rPr>
          <w:rFonts w:ascii="Times New Roman" w:hAnsi="Times New Roman" w:cs="Times New Roman"/>
        </w:rPr>
        <w:t xml:space="preserve"> where </w:t>
      </w:r>
      <m:oMath>
        <m:r>
          <w:rPr>
            <w:rFonts w:ascii="Cambria Math" w:hAnsi="Cambria Math" w:cs="Times New Roman"/>
          </w:rPr>
          <m:t>nc</m:t>
        </m:r>
      </m:oMath>
      <w:r w:rsidRPr="003D49BB">
        <w:rPr>
          <w:rFonts w:ascii="Times New Roman" w:hAnsi="Times New Roman" w:cs="Times New Roman"/>
        </w:rPr>
        <w:t xml:space="preserve"> is the number of clusters,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T</m:t>
            </m:r>
          </m:sub>
        </m:sSub>
      </m:oMath>
      <w:r w:rsidRPr="003D49BB">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C</m:t>
            </m:r>
          </m:sub>
        </m:sSub>
      </m:oMath>
      <w:r w:rsidRPr="003D49BB">
        <w:rPr>
          <w:rFonts w:ascii="Times New Roman" w:hAnsi="Times New Roman" w:cs="Times New Roman"/>
        </w:rPr>
        <w:t xml:space="preserve"> are the prevalence of the binary variable in treated and control subjects, respectively. Then, it is possible to define the overall standardized difference for a binary variable,</w:t>
      </w:r>
    </w:p>
    <w:p w:rsidR="00F45FE7" w:rsidRPr="003D49BB" w:rsidRDefault="00F45FE7" w:rsidP="00F45FE7">
      <w:pPr>
        <w:pStyle w:val="BodyText"/>
        <w:rPr>
          <w:rFonts w:ascii="Times New Roman" w:hAnsi="Times New Roman" w:cs="Times New Roman"/>
        </w:rPr>
      </w:pPr>
      <m:oMathPara>
        <m:oMath>
          <m:r>
            <w:rPr>
              <w:rFonts w:ascii="Cambria Math" w:hAnsi="Cambria Math" w:cs="Times New Roman"/>
            </w:rPr>
            <m:t>D=</m:t>
          </m:r>
          <m:nary>
            <m:naryPr>
              <m:chr m:val="∑"/>
              <m:limLoc m:val="undOvr"/>
              <m:ctrlPr>
                <w:rPr>
                  <w:rFonts w:ascii="Cambria Math" w:hAnsi="Cambria Math" w:cs="Times New Roman"/>
                </w:rPr>
              </m:ctrlPr>
            </m:naryPr>
            <m:sub>
              <m:r>
                <w:rPr>
                  <w:rFonts w:ascii="Cambria Math" w:hAnsi="Cambria Math" w:cs="Times New Roman"/>
                </w:rPr>
                <m:t>h=1</m:t>
              </m:r>
            </m:sub>
            <m:sup>
              <m:r>
                <w:rPr>
                  <w:rFonts w:ascii="Cambria Math" w:hAnsi="Cambria Math" w:cs="Times New Roman"/>
                </w:rPr>
                <m:t>nc</m:t>
              </m:r>
            </m:sup>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h</m:t>
                      </m:r>
                    </m:sub>
                  </m:sSub>
                </m:num>
                <m:den>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m:t>
                      </m:r>
                    </m:sub>
                  </m:sSub>
                </m:den>
              </m:f>
            </m:e>
          </m:nary>
        </m:oMath>
      </m:oMathPara>
    </w:p>
    <w:p w:rsidR="00F45FE7" w:rsidRPr="003D49BB" w:rsidRDefault="00F45FE7" w:rsidP="00F45FE7">
      <w:pPr>
        <w:pStyle w:val="BodyText"/>
        <w:rPr>
          <w:rFonts w:ascii="Times New Roman" w:hAnsi="Times New Roman" w:cs="Times New Roman"/>
        </w:rPr>
      </w:pPr>
      <w:r w:rsidRPr="003D49BB">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m:t>
            </m:r>
          </m:sub>
        </m:sSub>
      </m:oMath>
      <w:r w:rsidRPr="003D49BB">
        <w:rPr>
          <w:rFonts w:ascii="Times New Roman" w:hAnsi="Times New Roman" w:cs="Times New Roman"/>
        </w:rPr>
        <w:t xml:space="preserve"> is the weight of the cluster </w:t>
      </w:r>
      <m:oMath>
        <m:r>
          <w:rPr>
            <w:rFonts w:ascii="Cambria Math" w:hAnsi="Cambria Math" w:cs="Times New Roman"/>
          </w:rPr>
          <m:t>h</m:t>
        </m:r>
      </m:oMath>
      <w:r w:rsidRPr="003D49BB">
        <w:rPr>
          <w:rFonts w:ascii="Times New Roman" w:hAnsi="Times New Roman" w:cs="Times New Roman"/>
        </w:rPr>
        <w:t>.</w:t>
      </w:r>
    </w:p>
    <w:p w:rsidR="009433EA" w:rsidRPr="003D49BB" w:rsidRDefault="009433EA" w:rsidP="00835FE0">
      <w:pPr>
        <w:pStyle w:val="BodyText"/>
        <w:spacing w:line="276" w:lineRule="auto"/>
        <w:rPr>
          <w:rFonts w:ascii="Times New Roman" w:hAnsi="Times New Roman" w:cs="Times New Roman"/>
        </w:rPr>
      </w:pPr>
      <w:r w:rsidRPr="003D49BB">
        <w:rPr>
          <w:rFonts w:ascii="Times New Roman" w:hAnsi="Times New Roman" w:cs="Times New Roman"/>
        </w:rPr>
        <w:t>Then a multivariable logistic model with Inverse Probability of Treatment Weighting (IPTW) to predict readmission after adjusting for the same variables considered in the propensity score analysis was performed. Odds ratio with their respective 95% confidence intervals are presented.</w:t>
      </w:r>
    </w:p>
    <w:p w:rsidR="009433EA" w:rsidRDefault="009433EA" w:rsidP="00835FE0">
      <w:pPr>
        <w:pStyle w:val="BodyText"/>
        <w:spacing w:line="276" w:lineRule="auto"/>
        <w:rPr>
          <w:rFonts w:ascii="Times New Roman" w:hAnsi="Times New Roman" w:cs="Times New Roman"/>
        </w:rPr>
      </w:pPr>
      <w:r w:rsidRPr="003D49BB">
        <w:rPr>
          <w:rFonts w:ascii="Times New Roman" w:hAnsi="Times New Roman" w:cs="Times New Roman"/>
        </w:rPr>
        <w:t>In addition, Average Treatment Effect (ATE)</w:t>
      </w:r>
      <w:r w:rsidR="00F46200" w:rsidRPr="003D49BB">
        <w:rPr>
          <w:rFonts w:ascii="Times New Roman" w:hAnsi="Times New Roman" w:cs="Times New Roman"/>
        </w:rPr>
        <w:t xml:space="preserve"> was calculated following Li et al. (2013) with 95% confidence intervals based on bootstrap samples. We extended this idea to calculate the</w:t>
      </w:r>
      <w:r w:rsidRPr="003D49BB">
        <w:rPr>
          <w:rFonts w:ascii="Times New Roman" w:hAnsi="Times New Roman" w:cs="Times New Roman"/>
        </w:rPr>
        <w:t xml:space="preserve"> Average Treatment Effect on Treated (ATT) and on Control (ATC)</w:t>
      </w:r>
      <w:r w:rsidR="00F46200" w:rsidRPr="003D49BB">
        <w:rPr>
          <w:rFonts w:ascii="Times New Roman" w:hAnsi="Times New Roman" w:cs="Times New Roman"/>
        </w:rPr>
        <w:t xml:space="preserve"> as follows</w:t>
      </w:r>
      <w:r w:rsidRPr="003D49BB">
        <w:rPr>
          <w:rFonts w:ascii="Times New Roman" w:hAnsi="Times New Roman" w:cs="Times New Roman"/>
        </w:rPr>
        <w:t>.</w:t>
      </w:r>
    </w:p>
    <w:p w:rsidR="00A0260A" w:rsidRDefault="00A0260A">
      <w:pPr>
        <w:spacing w:after="200" w:line="276" w:lineRule="auto"/>
        <w:rPr>
          <w:rFonts w:ascii="Times New Roman" w:hAnsi="Times New Roman" w:cs="Times New Roman"/>
        </w:rPr>
      </w:pPr>
      <w:r>
        <w:rPr>
          <w:rFonts w:ascii="Times New Roman" w:hAnsi="Times New Roman" w:cs="Times New Roman"/>
        </w:rPr>
        <w:br w:type="page"/>
      </w:r>
    </w:p>
    <w:p w:rsidR="00C02A6E" w:rsidRPr="003D49BB" w:rsidRDefault="00C02A6E" w:rsidP="00C02A6E">
      <w:pPr>
        <w:pStyle w:val="BodyText"/>
        <w:rPr>
          <w:rFonts w:ascii="Times New Roman" w:hAnsi="Times New Roman" w:cs="Times New Roman"/>
        </w:rPr>
      </w:pPr>
      <w:r w:rsidRPr="003D49BB">
        <w:rPr>
          <w:rFonts w:ascii="Times New Roman" w:hAnsi="Times New Roman" w:cs="Times New Roman"/>
        </w:rPr>
        <w:lastRenderedPageBreak/>
        <w:t xml:space="preserve">A nonparametric clustered estimator for Average Treatment Effect (ATE) within the cluster </w:t>
      </w:r>
      <m:oMath>
        <m:r>
          <w:rPr>
            <w:rFonts w:ascii="Cambria Math" w:hAnsi="Cambria Math" w:cs="Times New Roman"/>
          </w:rPr>
          <m:t>h</m:t>
        </m:r>
      </m:oMath>
      <w:r w:rsidRPr="003D49BB">
        <w:rPr>
          <w:rFonts w:ascii="Times New Roman" w:hAnsi="Times New Roman" w:cs="Times New Roman"/>
        </w:rPr>
        <w:t xml:space="preserve"> is</w:t>
      </w:r>
    </w:p>
    <w:p w:rsidR="00C02A6E" w:rsidRPr="003D49BB" w:rsidRDefault="00617A47" w:rsidP="00C02A6E">
      <w:pPr>
        <w:pStyle w:val="BodyText"/>
        <w:rPr>
          <w:rFonts w:ascii="Times New Roman" w:hAnsi="Times New Roman" w:cs="Times New Roman"/>
        </w:rPr>
      </w:pPr>
      <m:oMathPara>
        <m:oMath>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ATE</m:t>
                  </m:r>
                </m:e>
              </m:acc>
            </m:e>
            <m:sub>
              <m:r>
                <w:rPr>
                  <w:rFonts w:ascii="Cambria Math" w:hAnsi="Cambria Math" w:cs="Times New Roman"/>
                </w:rPr>
                <m:t>h</m:t>
              </m:r>
            </m:sub>
          </m:sSub>
          <m:r>
            <w:rPr>
              <w:rFonts w:ascii="Cambria Math" w:hAnsi="Cambria Math" w:cs="Times New Roman"/>
            </w:rPr>
            <m:t>=</m:t>
          </m:r>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rPr>
                    <m:t>k=1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T</m:t>
                      </m:r>
                    </m:sub>
                  </m:sSub>
                  <m:r>
                    <w:rPr>
                      <w:rFonts w:ascii="Cambria Math" w:hAnsi="Cambria Math" w:cs="Times New Roman"/>
                    </w:rPr>
                    <m:t>h</m:t>
                  </m:r>
                </m:sup>
                <m:e>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hTk</m:t>
                      </m:r>
                    </m:sub>
                  </m:sSub>
                </m:e>
              </m:nary>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Thk</m:t>
                  </m:r>
                </m:sub>
              </m:sSub>
            </m:num>
            <m:den>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hT</m:t>
                  </m:r>
                </m:sub>
              </m:sSub>
            </m:den>
          </m:f>
          <m:r>
            <w:rPr>
              <w:rFonts w:ascii="Cambria Math" w:hAnsi="Cambria Math" w:cs="Times New Roman"/>
            </w:rPr>
            <m:t>-</m:t>
          </m:r>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rPr>
                    <m:t>k=1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C</m:t>
                      </m:r>
                    </m:sub>
                  </m:sSub>
                  <m:r>
                    <w:rPr>
                      <w:rFonts w:ascii="Cambria Math" w:hAnsi="Cambria Math" w:cs="Times New Roman"/>
                    </w:rPr>
                    <m:t>h</m:t>
                  </m:r>
                </m:sup>
                <m:e>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hCk</m:t>
                      </m:r>
                    </m:sub>
                  </m:sSub>
                </m:e>
              </m:nary>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Chk</m:t>
                  </m:r>
                </m:sub>
              </m:sSub>
            </m:num>
            <m:den>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hC</m:t>
                  </m:r>
                </m:sub>
              </m:sSub>
            </m:den>
          </m:f>
        </m:oMath>
      </m:oMathPara>
    </w:p>
    <w:p w:rsidR="00C02A6E" w:rsidRPr="003D49BB" w:rsidRDefault="00C02A6E" w:rsidP="00C02A6E">
      <w:pPr>
        <w:pStyle w:val="BodyText"/>
        <w:rPr>
          <w:rFonts w:ascii="Times New Roman" w:hAnsi="Times New Roman" w:cs="Times New Roman"/>
        </w:rPr>
      </w:pPr>
      <w:r w:rsidRPr="003D49BB">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hTk</m:t>
            </m:r>
          </m:sub>
        </m:sSub>
        <m:r>
          <w:rPr>
            <w:rFonts w:ascii="Cambria Math" w:hAnsi="Cambria Math" w:cs="Times New Roman"/>
          </w:rPr>
          <m:t>=1/</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e</m:t>
                </m:r>
              </m:e>
            </m:acc>
          </m:e>
          <m:sub>
            <m:r>
              <w:rPr>
                <w:rFonts w:ascii="Cambria Math" w:hAnsi="Cambria Math" w:cs="Times New Roman"/>
              </w:rPr>
              <m:t>hgk</m:t>
            </m:r>
          </m:sub>
        </m:sSub>
      </m:oMath>
      <w:r w:rsidRPr="003D49BB">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hCk</m:t>
            </m:r>
          </m:sub>
        </m:sSub>
        <m:r>
          <w:rPr>
            <w:rFonts w:ascii="Cambria Math" w:hAnsi="Cambria Math" w:cs="Times New Roman"/>
          </w:rPr>
          <m:t>=1/(1-</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e</m:t>
                </m:r>
              </m:e>
            </m:acc>
          </m:e>
          <m:sub>
            <m:r>
              <w:rPr>
                <w:rFonts w:ascii="Cambria Math" w:hAnsi="Cambria Math" w:cs="Times New Roman"/>
              </w:rPr>
              <m:t>hgk</m:t>
            </m:r>
          </m:sub>
        </m:sSub>
        <m:r>
          <w:rPr>
            <w:rFonts w:ascii="Cambria Math" w:hAnsi="Cambria Math" w:cs="Times New Roman"/>
          </w:rPr>
          <m:t>)</m:t>
        </m:r>
      </m:oMath>
      <w:r w:rsidRPr="003D49BB">
        <w:rPr>
          <w:rFonts w:ascii="Times New Roman" w:hAnsi="Times New Roman" w:cs="Times New Roman"/>
        </w:rPr>
        <w:t xml:space="preserve"> such that </w:t>
      </w:r>
      <m:oMath>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e</m:t>
                </m:r>
              </m:e>
            </m:acc>
          </m:e>
          <m:sub>
            <m:r>
              <w:rPr>
                <w:rFonts w:ascii="Cambria Math" w:hAnsi="Cambria Math" w:cs="Times New Roman"/>
              </w:rPr>
              <m:t>hgk</m:t>
            </m:r>
          </m:sub>
        </m:sSub>
      </m:oMath>
      <w:r w:rsidRPr="003D49BB">
        <w:rPr>
          <w:rFonts w:ascii="Times New Roman" w:hAnsi="Times New Roman" w:cs="Times New Roman"/>
        </w:rPr>
        <w:t xml:space="preserve"> is the estimated propensity score for patient </w:t>
      </w:r>
      <m:oMath>
        <m:r>
          <w:rPr>
            <w:rFonts w:ascii="Cambria Math" w:hAnsi="Cambria Math" w:cs="Times New Roman"/>
          </w:rPr>
          <m:t>k</m:t>
        </m:r>
      </m:oMath>
      <w:r w:rsidRPr="003D49BB">
        <w:rPr>
          <w:rFonts w:ascii="Times New Roman" w:hAnsi="Times New Roman" w:cs="Times New Roman"/>
        </w:rPr>
        <w:t xml:space="preserve"> from group </w:t>
      </w:r>
      <m:oMath>
        <m:r>
          <w:rPr>
            <w:rFonts w:ascii="Cambria Math" w:hAnsi="Cambria Math" w:cs="Times New Roman"/>
          </w:rPr>
          <m:t>g</m:t>
        </m:r>
      </m:oMath>
      <w:r w:rsidRPr="003D49BB">
        <w:rPr>
          <w:rFonts w:ascii="Times New Roman" w:hAnsi="Times New Roman" w:cs="Times New Roman"/>
        </w:rPr>
        <w:t xml:space="preserve"> (g = T:Treatment,  g = C: Control) within the cluster </w:t>
      </w:r>
      <m:oMath>
        <m:r>
          <w:rPr>
            <w:rFonts w:ascii="Cambria Math" w:hAnsi="Cambria Math" w:cs="Times New Roman"/>
          </w:rPr>
          <m:t>h</m:t>
        </m:r>
      </m:oMath>
      <w:r w:rsidRPr="003D49BB">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hg</m:t>
            </m:r>
          </m:sub>
        </m:sSub>
        <m: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k=1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gh</m:t>
                </m:r>
              </m:sub>
            </m:sSub>
          </m:sup>
          <m:e>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hgk</m:t>
                </m:r>
              </m:sub>
            </m:sSub>
          </m:e>
        </m:nary>
      </m:oMath>
      <w:r w:rsidRPr="003D49BB">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hgl</m:t>
            </m:r>
          </m:sub>
        </m:sSub>
      </m:oMath>
      <w:r w:rsidRPr="003D49BB">
        <w:rPr>
          <w:rFonts w:ascii="Times New Roman" w:hAnsi="Times New Roman" w:cs="Times New Roman"/>
        </w:rPr>
        <w:t xml:space="preserve"> is the binary outcome for the patient </w:t>
      </w:r>
      <m:oMath>
        <m:r>
          <w:rPr>
            <w:rFonts w:ascii="Cambria Math" w:hAnsi="Cambria Math" w:cs="Times New Roman"/>
          </w:rPr>
          <m:t>k</m:t>
        </m:r>
      </m:oMath>
      <w:r w:rsidRPr="003D49BB">
        <w:rPr>
          <w:rFonts w:ascii="Times New Roman" w:hAnsi="Times New Roman" w:cs="Times New Roman"/>
        </w:rPr>
        <w:t xml:space="preserve"> from group </w:t>
      </w:r>
      <m:oMath>
        <m:r>
          <w:rPr>
            <w:rFonts w:ascii="Cambria Math" w:hAnsi="Cambria Math" w:cs="Times New Roman"/>
          </w:rPr>
          <m:t>g</m:t>
        </m:r>
      </m:oMath>
      <w:r w:rsidRPr="003D49BB">
        <w:rPr>
          <w:rFonts w:ascii="Times New Roman" w:hAnsi="Times New Roman" w:cs="Times New Roman"/>
        </w:rPr>
        <w:t xml:space="preserve"> within cluster </w:t>
      </w:r>
      <m:oMath>
        <m:r>
          <w:rPr>
            <w:rFonts w:ascii="Cambria Math" w:hAnsi="Cambria Math" w:cs="Times New Roman"/>
          </w:rPr>
          <m:t>h</m:t>
        </m:r>
      </m:oMath>
      <w:r w:rsidRPr="003D49BB">
        <w:rPr>
          <w:rFonts w:ascii="Times New Roman" w:hAnsi="Times New Roman" w:cs="Times New Roman"/>
        </w:rPr>
        <w:t>.</w:t>
      </w:r>
    </w:p>
    <w:p w:rsidR="00C02A6E" w:rsidRPr="003D49BB" w:rsidRDefault="00C02A6E" w:rsidP="00C02A6E">
      <w:pPr>
        <w:pStyle w:val="BodyText"/>
        <w:rPr>
          <w:rFonts w:ascii="Times New Roman" w:hAnsi="Times New Roman" w:cs="Times New Roman"/>
        </w:rPr>
      </w:pPr>
      <w:r w:rsidRPr="003D49BB">
        <w:rPr>
          <w:rFonts w:ascii="Times New Roman" w:hAnsi="Times New Roman" w:cs="Times New Roman"/>
        </w:rPr>
        <w:t>Then, the overall estimator for ATE follows</w:t>
      </w:r>
    </w:p>
    <w:p w:rsidR="00C02A6E" w:rsidRPr="003D49BB" w:rsidRDefault="00617A47" w:rsidP="00C02A6E">
      <w:pPr>
        <w:pStyle w:val="BodyText"/>
        <w:rPr>
          <w:rFonts w:ascii="Times New Roman" w:hAnsi="Times New Roman" w:cs="Times New Roman"/>
        </w:rPr>
      </w:pPr>
      <m:oMathPara>
        <m:oMath>
          <m:acc>
            <m:accPr>
              <m:chr m:val="^"/>
              <m:ctrlPr>
                <w:rPr>
                  <w:rFonts w:ascii="Cambria Math" w:hAnsi="Cambria Math" w:cs="Times New Roman"/>
                </w:rPr>
              </m:ctrlPr>
            </m:accPr>
            <m:e>
              <m:r>
                <w:rPr>
                  <w:rFonts w:ascii="Cambria Math" w:hAnsi="Cambria Math" w:cs="Times New Roman"/>
                </w:rPr>
                <m:t>ATE</m:t>
              </m:r>
            </m:e>
          </m:acc>
          <m: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h=1</m:t>
              </m:r>
            </m:sub>
            <m:sup>
              <m:r>
                <w:rPr>
                  <w:rFonts w:ascii="Cambria Math" w:hAnsi="Cambria Math" w:cs="Times New Roman"/>
                </w:rPr>
                <m:t>nc</m:t>
              </m:r>
            </m:sup>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m:t>
                      </m:r>
                    </m:sub>
                  </m:sSub>
                  <m: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ATE</m:t>
                          </m:r>
                        </m:e>
                      </m:acc>
                    </m:e>
                    <m:sub>
                      <m:r>
                        <w:rPr>
                          <w:rFonts w:ascii="Cambria Math" w:hAnsi="Cambria Math" w:cs="Times New Roman"/>
                        </w:rPr>
                        <m:t>h</m:t>
                      </m:r>
                    </m:sub>
                  </m:sSub>
                </m:num>
                <m:den>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m:t>
                      </m:r>
                    </m:sub>
                  </m:sSub>
                </m:den>
              </m:f>
            </m:e>
          </m:nary>
        </m:oMath>
      </m:oMathPara>
    </w:p>
    <w:p w:rsidR="00C02A6E" w:rsidRPr="003D49BB" w:rsidRDefault="00C02A6E" w:rsidP="00C02A6E">
      <w:pPr>
        <w:pStyle w:val="BodyText"/>
        <w:rPr>
          <w:rFonts w:ascii="Times New Roman" w:hAnsi="Times New Roman" w:cs="Times New Roman"/>
        </w:rPr>
      </w:pPr>
      <w:r w:rsidRPr="003D49BB">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m:t>
            </m:r>
          </m:sub>
        </m:sSub>
        <m: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k=1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g</m:t>
                </m:r>
              </m:sub>
            </m:sSub>
          </m:sup>
          <m:e>
            <m:nary>
              <m:naryPr>
                <m:chr m:val="∑"/>
                <m:limLoc m:val="undOvr"/>
                <m:ctrlPr>
                  <w:rPr>
                    <w:rFonts w:ascii="Cambria Math" w:hAnsi="Cambria Math" w:cs="Times New Roman"/>
                  </w:rPr>
                </m:ctrlPr>
              </m:naryPr>
              <m:sub>
                <m:r>
                  <w:rPr>
                    <w:rFonts w:ascii="Cambria Math" w:hAnsi="Cambria Math" w:cs="Times New Roman"/>
                  </w:rPr>
                  <m:t>k=1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hg</m:t>
                    </m:r>
                  </m:sub>
                </m:sSub>
              </m:sup>
              <m:e>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hgk</m:t>
                    </m:r>
                  </m:sub>
                </m:sSub>
              </m:e>
            </m:nary>
          </m:e>
        </m:nary>
      </m:oMath>
      <w:r w:rsidRPr="003D49BB">
        <w:rPr>
          <w:rFonts w:ascii="Times New Roman" w:hAnsi="Times New Roman" w:cs="Times New Roman"/>
        </w:rPr>
        <w:t>.</w:t>
      </w:r>
    </w:p>
    <w:p w:rsidR="009433EA" w:rsidRPr="003D49BB" w:rsidRDefault="00C02A6E" w:rsidP="00835FE0">
      <w:pPr>
        <w:pStyle w:val="BodyText"/>
        <w:spacing w:before="120" w:line="276" w:lineRule="auto"/>
        <w:rPr>
          <w:rFonts w:ascii="Times New Roman" w:hAnsi="Times New Roman" w:cs="Times New Roman"/>
        </w:rPr>
      </w:pPr>
      <w:r w:rsidRPr="003D49BB">
        <w:rPr>
          <w:rFonts w:ascii="Times New Roman" w:hAnsi="Times New Roman" w:cs="Times New Roman"/>
        </w:rPr>
        <w:t>In order to estimate the average treatment effect on treated patients (ATT),</w:t>
      </w:r>
      <w:r w:rsidR="00F45FE7" w:rsidRPr="003D49BB">
        <w:rPr>
          <w:rFonts w:ascii="Times New Roman" w:hAnsi="Times New Roman" w:cs="Times New Roman"/>
        </w:rPr>
        <w:t xml:space="preserve"> the weights are defined as</w:t>
      </w:r>
      <w:r w:rsidRPr="003D49BB">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hTk</m:t>
            </m:r>
          </m:sub>
        </m:sSub>
        <m:r>
          <w:rPr>
            <w:rFonts w:ascii="Cambria Math" w:hAnsi="Cambria Math" w:cs="Times New Roman"/>
          </w:rPr>
          <m:t>=1</m:t>
        </m:r>
      </m:oMath>
      <w:r w:rsidRPr="003D49BB">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hCk</m:t>
            </m:r>
          </m:sub>
        </m:sSub>
        <m: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e</m:t>
                </m:r>
              </m:e>
            </m:acc>
          </m:e>
          <m:sub>
            <m:r>
              <w:rPr>
                <w:rFonts w:ascii="Cambria Math" w:hAnsi="Cambria Math" w:cs="Times New Roman"/>
              </w:rPr>
              <m:t>hgk</m:t>
            </m:r>
          </m:sub>
        </m:sSub>
        <m:r>
          <w:rPr>
            <w:rFonts w:ascii="Cambria Math" w:hAnsi="Cambria Math" w:cs="Times New Roman"/>
          </w:rPr>
          <m:t>/(1-</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e</m:t>
                </m:r>
              </m:e>
            </m:acc>
          </m:e>
          <m:sub>
            <m:r>
              <w:rPr>
                <w:rFonts w:ascii="Cambria Math" w:hAnsi="Cambria Math" w:cs="Times New Roman"/>
              </w:rPr>
              <m:t>hgk</m:t>
            </m:r>
          </m:sub>
        </m:sSub>
        <m:r>
          <w:rPr>
            <w:rFonts w:ascii="Cambria Math" w:hAnsi="Cambria Math" w:cs="Times New Roman"/>
          </w:rPr>
          <m:t>)</m:t>
        </m:r>
      </m:oMath>
      <w:r w:rsidRPr="003D49BB">
        <w:rPr>
          <w:rFonts w:ascii="Times New Roman" w:hAnsi="Times New Roman" w:cs="Times New Roman"/>
        </w:rPr>
        <w:t xml:space="preserve"> and </w:t>
      </w:r>
      <w:r w:rsidR="00F45FE7" w:rsidRPr="003D49BB">
        <w:rPr>
          <w:rFonts w:ascii="Times New Roman" w:hAnsi="Times New Roman" w:cs="Times New Roman"/>
        </w:rPr>
        <w:t xml:space="preserve">for </w:t>
      </w:r>
      <w:r w:rsidRPr="003D49BB">
        <w:rPr>
          <w:rFonts w:ascii="Times New Roman" w:hAnsi="Times New Roman" w:cs="Times New Roman"/>
        </w:rPr>
        <w:t xml:space="preserve">the average treatment effect on control patients (ATC),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hTk</m:t>
            </m:r>
          </m:sub>
        </m:sSub>
        <m:r>
          <w:rPr>
            <w:rFonts w:ascii="Cambria Math" w:hAnsi="Cambria Math" w:cs="Times New Roman"/>
          </w:rPr>
          <m:t>=(1-</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e</m:t>
                </m:r>
              </m:e>
            </m:acc>
          </m:e>
          <m:sub>
            <m:r>
              <w:rPr>
                <w:rFonts w:ascii="Cambria Math" w:hAnsi="Cambria Math" w:cs="Times New Roman"/>
              </w:rPr>
              <m:t>hgk</m:t>
            </m:r>
          </m:sub>
        </m:sSub>
        <m: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e</m:t>
                </m:r>
              </m:e>
            </m:acc>
          </m:e>
          <m:sub>
            <m:r>
              <w:rPr>
                <w:rFonts w:ascii="Cambria Math" w:hAnsi="Cambria Math" w:cs="Times New Roman"/>
              </w:rPr>
              <m:t>hgk</m:t>
            </m:r>
          </m:sub>
        </m:sSub>
      </m:oMath>
      <w:r w:rsidRPr="003D49BB">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w</m:t>
            </m:r>
          </m:e>
          <m:sub>
            <m:r>
              <w:rPr>
                <w:rFonts w:ascii="Cambria Math" w:hAnsi="Cambria Math" w:cs="Times New Roman"/>
              </w:rPr>
              <m:t>hCk</m:t>
            </m:r>
          </m:sub>
        </m:sSub>
        <m:r>
          <w:rPr>
            <w:rFonts w:ascii="Cambria Math" w:hAnsi="Cambria Math" w:cs="Times New Roman"/>
          </w:rPr>
          <m:t>=1</m:t>
        </m:r>
      </m:oMath>
      <w:r w:rsidRPr="003D49BB">
        <w:rPr>
          <w:rFonts w:ascii="Times New Roman" w:hAnsi="Times New Roman" w:cs="Times New Roman"/>
        </w:rPr>
        <w:t xml:space="preserve">. </w:t>
      </w:r>
      <w:r w:rsidR="00F45FE7" w:rsidRPr="003D49BB">
        <w:rPr>
          <w:rFonts w:ascii="Times New Roman" w:hAnsi="Times New Roman" w:cs="Times New Roman"/>
        </w:rPr>
        <w:br/>
      </w:r>
      <w:r w:rsidR="009433EA" w:rsidRPr="003D49BB">
        <w:rPr>
          <w:rFonts w:ascii="Times New Roman" w:hAnsi="Times New Roman" w:cs="Times New Roman"/>
        </w:rPr>
        <w:t>Results were considered statistically significant if p value smaller than 0.05. All analyses were done using R package version 3.2.3 (R Core Team, 2016).</w:t>
      </w:r>
    </w:p>
    <w:p w:rsidR="00C02A6E" w:rsidRPr="00BF5732" w:rsidRDefault="00BF5732" w:rsidP="00A0260A">
      <w:pPr>
        <w:pStyle w:val="BodyText"/>
        <w:spacing w:before="120"/>
        <w:rPr>
          <w:rFonts w:ascii="Times New Roman" w:hAnsi="Times New Roman" w:cs="Times New Roman"/>
        </w:rPr>
      </w:pPr>
      <w:r w:rsidRPr="00BF5732">
        <w:rPr>
          <w:rFonts w:ascii="Times New Roman" w:hAnsi="Times New Roman" w:cs="Times New Roman"/>
          <w:i/>
        </w:rPr>
        <w:t>Results</w:t>
      </w:r>
      <w:r>
        <w:rPr>
          <w:rFonts w:ascii="Times New Roman" w:hAnsi="Times New Roman" w:cs="Times New Roman"/>
        </w:rPr>
        <w:t>:</w:t>
      </w:r>
    </w:p>
    <w:p w:rsidR="00A0260A" w:rsidRDefault="003D1D18" w:rsidP="00A0260A">
      <w:pPr>
        <w:pStyle w:val="BodyText"/>
        <w:rPr>
          <w:rFonts w:ascii="Times New Roman" w:hAnsi="Times New Roman" w:cs="Times New Roman"/>
        </w:rPr>
      </w:pPr>
      <w:r>
        <w:rPr>
          <w:rFonts w:ascii="Times New Roman" w:hAnsi="Times New Roman" w:cs="Times New Roman"/>
        </w:rPr>
        <w:t xml:space="preserve">Supplement </w:t>
      </w:r>
      <w:r w:rsidR="00C02A6E" w:rsidRPr="003D49BB">
        <w:rPr>
          <w:rFonts w:ascii="Times New Roman" w:hAnsi="Times New Roman" w:cs="Times New Roman"/>
        </w:rPr>
        <w:t xml:space="preserve">Table </w:t>
      </w:r>
      <w:r w:rsidR="007E3ABC">
        <w:rPr>
          <w:rFonts w:ascii="Times New Roman" w:hAnsi="Times New Roman" w:cs="Times New Roman"/>
        </w:rPr>
        <w:t>2</w:t>
      </w:r>
      <w:r w:rsidR="00C02A6E" w:rsidRPr="003D49BB">
        <w:rPr>
          <w:rFonts w:ascii="Times New Roman" w:hAnsi="Times New Roman" w:cs="Times New Roman"/>
        </w:rPr>
        <w:t xml:space="preserve"> indicates that only clusters defined by the S</w:t>
      </w:r>
      <w:r>
        <w:rPr>
          <w:rFonts w:ascii="Times New Roman" w:hAnsi="Times New Roman" w:cs="Times New Roman"/>
        </w:rPr>
        <w:t>N</w:t>
      </w:r>
      <w:r w:rsidR="00C02A6E" w:rsidRPr="003D49BB">
        <w:rPr>
          <w:rFonts w:ascii="Times New Roman" w:hAnsi="Times New Roman" w:cs="Times New Roman"/>
        </w:rPr>
        <w:t xml:space="preserve">Fs explains are statistically significant (p &lt; 0.001).  </w:t>
      </w:r>
    </w:p>
    <w:p w:rsidR="00617A47" w:rsidRDefault="00617A47" w:rsidP="00A0260A">
      <w:pPr>
        <w:pStyle w:val="BodyText"/>
        <w:rPr>
          <w:rFonts w:ascii="Times New Roman" w:hAnsi="Times New Roman" w:cs="Times New Roman"/>
        </w:rPr>
      </w:pPr>
    </w:p>
    <w:p w:rsidR="00A0260A" w:rsidRPr="003D1D18" w:rsidRDefault="00A0260A" w:rsidP="00A0260A">
      <w:pPr>
        <w:pStyle w:val="TableCaption"/>
        <w:rPr>
          <w:rFonts w:ascii="Times New Roman" w:hAnsi="Times New Roman" w:cs="Times New Roman"/>
          <w:i w:val="0"/>
          <w:sz w:val="22"/>
          <w:szCs w:val="22"/>
        </w:rPr>
      </w:pPr>
      <w:r w:rsidRPr="003D1D18">
        <w:rPr>
          <w:rFonts w:ascii="Times New Roman" w:hAnsi="Times New Roman" w:cs="Times New Roman"/>
          <w:i w:val="0"/>
          <w:sz w:val="22"/>
          <w:szCs w:val="22"/>
        </w:rPr>
        <w:t xml:space="preserve">Supplement Table </w:t>
      </w:r>
      <w:r w:rsidR="007E3ABC">
        <w:rPr>
          <w:rFonts w:ascii="Times New Roman" w:hAnsi="Times New Roman" w:cs="Times New Roman"/>
          <w:i w:val="0"/>
          <w:sz w:val="22"/>
          <w:szCs w:val="22"/>
        </w:rPr>
        <w:t>2</w:t>
      </w:r>
      <w:r w:rsidRPr="003D1D18">
        <w:rPr>
          <w:rFonts w:ascii="Times New Roman" w:hAnsi="Times New Roman" w:cs="Times New Roman"/>
          <w:i w:val="0"/>
          <w:sz w:val="22"/>
          <w:szCs w:val="22"/>
        </w:rPr>
        <w:t>. Likelihood tests to evaluate presence of clusters</w:t>
      </w:r>
    </w:p>
    <w:tbl>
      <w:tblPr>
        <w:tblW w:w="0" w:type="pct"/>
        <w:tblLook w:val="07E0" w:firstRow="1" w:lastRow="1" w:firstColumn="1" w:lastColumn="1" w:noHBand="1" w:noVBand="1"/>
        <w:tblCaption w:val="Table 1. Likelihood tests to evaluate presence of clusters"/>
      </w:tblPr>
      <w:tblGrid>
        <w:gridCol w:w="2064"/>
        <w:gridCol w:w="891"/>
      </w:tblGrid>
      <w:tr w:rsidR="00A0260A" w:rsidRPr="003D49BB" w:rsidTr="00AF154E">
        <w:tc>
          <w:tcPr>
            <w:tcW w:w="0" w:type="auto"/>
            <w:tcBorders>
              <w:top w:val="single" w:sz="4" w:space="0" w:color="auto"/>
              <w:left w:val="nil"/>
              <w:bottom w:val="single" w:sz="2" w:space="0" w:color="auto"/>
              <w:right w:val="nil"/>
            </w:tcBorders>
            <w:vAlign w:val="bottom"/>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Hypothesis</w:t>
            </w:r>
          </w:p>
        </w:tc>
        <w:tc>
          <w:tcPr>
            <w:tcW w:w="0" w:type="auto"/>
            <w:tcBorders>
              <w:top w:val="single" w:sz="4" w:space="0" w:color="auto"/>
              <w:left w:val="nil"/>
              <w:bottom w:val="single" w:sz="2" w:space="0" w:color="auto"/>
              <w:right w:val="nil"/>
            </w:tcBorders>
            <w:vAlign w:val="bottom"/>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p value</w:t>
            </w:r>
          </w:p>
        </w:tc>
      </w:tr>
      <w:tr w:rsidR="00A0260A" w:rsidRPr="003D49BB" w:rsidTr="00AF154E">
        <w:tc>
          <w:tcPr>
            <w:tcW w:w="0" w:type="auto"/>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no clusters vs SNF</w:t>
            </w:r>
          </w:p>
        </w:tc>
        <w:tc>
          <w:tcPr>
            <w:tcW w:w="0" w:type="auto"/>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&lt; 0.001</w:t>
            </w:r>
          </w:p>
        </w:tc>
      </w:tr>
      <w:tr w:rsidR="00A0260A" w:rsidRPr="003D49BB" w:rsidTr="00AF154E">
        <w:tc>
          <w:tcPr>
            <w:tcW w:w="0" w:type="auto"/>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No clusters vs Payer</w:t>
            </w:r>
          </w:p>
        </w:tc>
        <w:tc>
          <w:tcPr>
            <w:tcW w:w="0" w:type="auto"/>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1</w:t>
            </w:r>
          </w:p>
        </w:tc>
      </w:tr>
      <w:tr w:rsidR="00A0260A" w:rsidRPr="003D49BB" w:rsidTr="00AF154E">
        <w:tc>
          <w:tcPr>
            <w:tcW w:w="0" w:type="auto"/>
            <w:tcBorders>
              <w:bottom w:val="single" w:sz="4" w:space="0" w:color="auto"/>
            </w:tcBorders>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SNF vs SNF + Payer</w:t>
            </w:r>
          </w:p>
        </w:tc>
        <w:tc>
          <w:tcPr>
            <w:tcW w:w="0" w:type="auto"/>
            <w:tcBorders>
              <w:bottom w:val="single" w:sz="4" w:space="0" w:color="auto"/>
            </w:tcBorders>
            <w:hideMark/>
          </w:tcPr>
          <w:p w:rsidR="00A0260A" w:rsidRPr="003D49BB" w:rsidRDefault="00A0260A" w:rsidP="00AF154E">
            <w:pPr>
              <w:pStyle w:val="Compact"/>
              <w:rPr>
                <w:rFonts w:ascii="Times New Roman" w:hAnsi="Times New Roman" w:cs="Times New Roman"/>
                <w:sz w:val="22"/>
                <w:szCs w:val="22"/>
              </w:rPr>
            </w:pPr>
            <w:r w:rsidRPr="003D49BB">
              <w:rPr>
                <w:rFonts w:ascii="Times New Roman" w:hAnsi="Times New Roman" w:cs="Times New Roman"/>
                <w:sz w:val="22"/>
                <w:szCs w:val="22"/>
              </w:rPr>
              <w:t>1</w:t>
            </w:r>
          </w:p>
        </w:tc>
      </w:tr>
    </w:tbl>
    <w:p w:rsidR="00A0260A" w:rsidRPr="003D49BB" w:rsidRDefault="00A0260A" w:rsidP="00A0260A">
      <w:pPr>
        <w:spacing w:line="360" w:lineRule="auto"/>
        <w:rPr>
          <w:rFonts w:ascii="Times New Roman" w:hAnsi="Times New Roman" w:cs="Times New Roman"/>
        </w:rPr>
      </w:pPr>
    </w:p>
    <w:p w:rsidR="00907527" w:rsidRDefault="00C02A6E" w:rsidP="00835FE0">
      <w:pPr>
        <w:pStyle w:val="BodyText"/>
        <w:spacing w:line="276" w:lineRule="auto"/>
        <w:rPr>
          <w:rFonts w:ascii="Times New Roman" w:hAnsi="Times New Roman" w:cs="Times New Roman"/>
        </w:rPr>
      </w:pPr>
      <w:r w:rsidRPr="003D49BB">
        <w:rPr>
          <w:rFonts w:ascii="Times New Roman" w:hAnsi="Times New Roman" w:cs="Times New Roman"/>
        </w:rPr>
        <w:t>When the full logistic regression model was run using I</w:t>
      </w:r>
      <w:r w:rsidR="00835FE0">
        <w:rPr>
          <w:rFonts w:ascii="Times New Roman" w:hAnsi="Times New Roman" w:cs="Times New Roman"/>
        </w:rPr>
        <w:t>PTW</w:t>
      </w:r>
      <w:r w:rsidR="003D1D18">
        <w:rPr>
          <w:rFonts w:ascii="Times New Roman" w:hAnsi="Times New Roman" w:cs="Times New Roman"/>
        </w:rPr>
        <w:t xml:space="preserve"> (Supplement</w:t>
      </w:r>
      <w:r w:rsidR="00F45FE7" w:rsidRPr="003D49BB">
        <w:rPr>
          <w:rFonts w:ascii="Times New Roman" w:hAnsi="Times New Roman" w:cs="Times New Roman"/>
        </w:rPr>
        <w:t xml:space="preserve"> Table </w:t>
      </w:r>
      <w:r w:rsidR="007E3ABC">
        <w:rPr>
          <w:rFonts w:ascii="Times New Roman" w:hAnsi="Times New Roman" w:cs="Times New Roman"/>
        </w:rPr>
        <w:t>3</w:t>
      </w:r>
      <w:r w:rsidR="003D1D18">
        <w:rPr>
          <w:rFonts w:ascii="Times New Roman" w:hAnsi="Times New Roman" w:cs="Times New Roman"/>
        </w:rPr>
        <w:t>)</w:t>
      </w:r>
      <w:r w:rsidRPr="003D49BB">
        <w:rPr>
          <w:rFonts w:ascii="Times New Roman" w:hAnsi="Times New Roman" w:cs="Times New Roman"/>
        </w:rPr>
        <w:t xml:space="preserve">, the odds ratio on readmission increased to 0.77 (p = 0.004, 95% CI 0.64 – 0.92), compared with 0.71 in the original model. There were no significant changes in most of the characteristics associated with increased odds of 30-day readmission: being male, Hispanic, speaking a language other than English, Russian or Farsi, being Dual Eligible, and being discharged from a clinical service line of General Internal Medicine, Medical Cardiology, Gastroenterology, or Pulmonary. Being a Spanish speaker became significant with p = 0.044 compared with 0.069 in the original model, and the odds ratio increased from 1.83 to 1.92. Having an index hospital stay of 1 to 3 days was no longer significant, but the odds ratio for having an index stay of 10 days or greater increased from 1.45 to 2.00 (p &lt; 0.001, 95% CI = 1.49 – 2.68). At the same time, the Major and Extreme </w:t>
      </w:r>
      <w:proofErr w:type="gramStart"/>
      <w:r w:rsidRPr="003D49BB">
        <w:rPr>
          <w:rFonts w:ascii="Times New Roman" w:hAnsi="Times New Roman" w:cs="Times New Roman"/>
        </w:rPr>
        <w:t>discharge</w:t>
      </w:r>
      <w:proofErr w:type="gramEnd"/>
      <w:r w:rsidRPr="003D49BB">
        <w:rPr>
          <w:rFonts w:ascii="Times New Roman" w:hAnsi="Times New Roman" w:cs="Times New Roman"/>
        </w:rPr>
        <w:t xml:space="preserve"> Severity of Illness scores were no longer statistically significant, with the 95% confidence interval for the Extreme category broadening from 1.66 – 2.97 (p &lt; 0.001</w:t>
      </w:r>
      <w:r w:rsidR="00F45FE7" w:rsidRPr="003D49BB">
        <w:rPr>
          <w:rFonts w:ascii="Times New Roman" w:hAnsi="Times New Roman" w:cs="Times New Roman"/>
        </w:rPr>
        <w:t>) to</w:t>
      </w:r>
      <w:r w:rsidRPr="003D49BB">
        <w:rPr>
          <w:rFonts w:ascii="Times New Roman" w:hAnsi="Times New Roman" w:cs="Times New Roman"/>
        </w:rPr>
        <w:t xml:space="preserve"> 0.97 - 2.52 (p = 0.066). </w:t>
      </w:r>
    </w:p>
    <w:p w:rsidR="00A0260A" w:rsidRDefault="00A0260A">
      <w:pPr>
        <w:spacing w:after="200" w:line="276" w:lineRule="auto"/>
        <w:rPr>
          <w:rFonts w:ascii="Times New Roman" w:hAnsi="Times New Roman" w:cs="Times New Roman"/>
        </w:rPr>
      </w:pPr>
      <w:r>
        <w:rPr>
          <w:rFonts w:ascii="Times New Roman" w:hAnsi="Times New Roman" w:cs="Times New Roman"/>
          <w:i/>
        </w:rPr>
        <w:br w:type="page"/>
      </w:r>
    </w:p>
    <w:p w:rsidR="00192BDC" w:rsidRPr="003D49BB" w:rsidRDefault="003D1D18" w:rsidP="00A0260A">
      <w:pPr>
        <w:rPr>
          <w:rFonts w:ascii="Times New Roman" w:hAnsi="Times New Roman" w:cs="Times New Roman"/>
        </w:rPr>
      </w:pPr>
      <w:r>
        <w:rPr>
          <w:rFonts w:ascii="Times New Roman" w:hAnsi="Times New Roman" w:cs="Times New Roman"/>
        </w:rPr>
        <w:lastRenderedPageBreak/>
        <w:t xml:space="preserve">Supplement </w:t>
      </w:r>
      <w:r w:rsidR="00192BDC" w:rsidRPr="003D49BB">
        <w:rPr>
          <w:rFonts w:ascii="Times New Roman" w:hAnsi="Times New Roman" w:cs="Times New Roman"/>
        </w:rPr>
        <w:t xml:space="preserve">Table </w:t>
      </w:r>
      <w:r w:rsidR="007E3ABC">
        <w:rPr>
          <w:rFonts w:ascii="Times New Roman" w:hAnsi="Times New Roman" w:cs="Times New Roman"/>
        </w:rPr>
        <w:t>3</w:t>
      </w:r>
      <w:r w:rsidR="00192BDC" w:rsidRPr="003D49BB">
        <w:rPr>
          <w:rFonts w:ascii="Times New Roman" w:hAnsi="Times New Roman" w:cs="Times New Roman"/>
        </w:rPr>
        <w:t xml:space="preserve">. </w:t>
      </w:r>
      <w:r>
        <w:rPr>
          <w:rFonts w:ascii="Times New Roman" w:hAnsi="Times New Roman" w:cs="Times New Roman"/>
        </w:rPr>
        <w:t>Propensity-weighted m</w:t>
      </w:r>
      <w:r w:rsidR="00192BDC" w:rsidRPr="003D49BB">
        <w:rPr>
          <w:rFonts w:ascii="Times New Roman" w:hAnsi="Times New Roman" w:cs="Times New Roman"/>
        </w:rPr>
        <w:t>ultivariable logistic regression: odds of 30-day same hospital readmission from Skilled Nursing Facilities</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95"/>
        <w:gridCol w:w="2160"/>
        <w:gridCol w:w="1980"/>
        <w:gridCol w:w="1530"/>
      </w:tblGrid>
      <w:tr w:rsidR="00A509B6" w:rsidRPr="003D49BB" w:rsidTr="00C02A6E">
        <w:tc>
          <w:tcPr>
            <w:tcW w:w="3895" w:type="dxa"/>
            <w:tcBorders>
              <w:top w:val="single" w:sz="4" w:space="0" w:color="auto"/>
              <w:bottom w:val="single" w:sz="4" w:space="0" w:color="auto"/>
            </w:tcBorders>
          </w:tcPr>
          <w:p w:rsidR="00A509B6" w:rsidRPr="003D49BB" w:rsidRDefault="00A509B6" w:rsidP="00633BD2">
            <w:pPr>
              <w:spacing w:line="276" w:lineRule="auto"/>
              <w:rPr>
                <w:rFonts w:ascii="Times New Roman" w:hAnsi="Times New Roman" w:cs="Times New Roman"/>
              </w:rPr>
            </w:pPr>
          </w:p>
        </w:tc>
        <w:tc>
          <w:tcPr>
            <w:tcW w:w="2160" w:type="dxa"/>
            <w:tcBorders>
              <w:top w:val="single" w:sz="4" w:space="0" w:color="auto"/>
              <w:bottom w:val="single" w:sz="4" w:space="0" w:color="auto"/>
            </w:tcBorders>
          </w:tcPr>
          <w:p w:rsidR="00A509B6" w:rsidRPr="003D49BB" w:rsidRDefault="00A509B6" w:rsidP="00EF6E80">
            <w:pPr>
              <w:spacing w:line="276" w:lineRule="auto"/>
              <w:jc w:val="center"/>
              <w:rPr>
                <w:rFonts w:ascii="Times New Roman" w:hAnsi="Times New Roman" w:cs="Times New Roman"/>
                <w:b/>
              </w:rPr>
            </w:pPr>
            <w:r w:rsidRPr="003D49BB">
              <w:rPr>
                <w:rFonts w:ascii="Times New Roman" w:hAnsi="Times New Roman" w:cs="Times New Roman"/>
                <w:b/>
              </w:rPr>
              <w:t>Odds Ratio</w:t>
            </w:r>
          </w:p>
        </w:tc>
        <w:tc>
          <w:tcPr>
            <w:tcW w:w="1980" w:type="dxa"/>
            <w:tcBorders>
              <w:top w:val="single" w:sz="4" w:space="0" w:color="auto"/>
              <w:bottom w:val="single" w:sz="4" w:space="0" w:color="auto"/>
            </w:tcBorders>
          </w:tcPr>
          <w:p w:rsidR="00A509B6" w:rsidRPr="003D49BB" w:rsidRDefault="00A509B6" w:rsidP="00EF6E80">
            <w:pPr>
              <w:spacing w:line="276" w:lineRule="auto"/>
              <w:jc w:val="center"/>
              <w:rPr>
                <w:rFonts w:ascii="Times New Roman" w:hAnsi="Times New Roman" w:cs="Times New Roman"/>
                <w:b/>
              </w:rPr>
            </w:pPr>
            <w:r w:rsidRPr="003D49BB">
              <w:rPr>
                <w:rFonts w:ascii="Times New Roman" w:hAnsi="Times New Roman" w:cs="Times New Roman"/>
                <w:b/>
              </w:rPr>
              <w:t>(95% CI)</w:t>
            </w:r>
          </w:p>
        </w:tc>
        <w:tc>
          <w:tcPr>
            <w:tcW w:w="1530" w:type="dxa"/>
            <w:tcBorders>
              <w:top w:val="single" w:sz="4" w:space="0" w:color="auto"/>
              <w:bottom w:val="single" w:sz="4" w:space="0" w:color="auto"/>
            </w:tcBorders>
          </w:tcPr>
          <w:p w:rsidR="00A509B6" w:rsidRPr="003D49BB" w:rsidRDefault="00A509B6" w:rsidP="00EF6E80">
            <w:pPr>
              <w:spacing w:line="276" w:lineRule="auto"/>
              <w:jc w:val="center"/>
              <w:rPr>
                <w:rFonts w:ascii="Times New Roman" w:hAnsi="Times New Roman" w:cs="Times New Roman"/>
                <w:b/>
              </w:rPr>
            </w:pPr>
            <w:r w:rsidRPr="003D49BB">
              <w:rPr>
                <w:rFonts w:ascii="Times New Roman" w:hAnsi="Times New Roman" w:cs="Times New Roman"/>
                <w:b/>
              </w:rPr>
              <w:t>p-Value</w:t>
            </w:r>
          </w:p>
        </w:tc>
      </w:tr>
      <w:tr w:rsidR="00EF6E80" w:rsidRPr="003D49BB" w:rsidTr="00C02A6E">
        <w:tc>
          <w:tcPr>
            <w:tcW w:w="3895" w:type="dxa"/>
            <w:tcBorders>
              <w:top w:val="single" w:sz="4" w:space="0" w:color="auto"/>
            </w:tcBorders>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ECP participation</w:t>
            </w:r>
          </w:p>
        </w:tc>
        <w:tc>
          <w:tcPr>
            <w:tcW w:w="2160" w:type="dxa"/>
            <w:tcBorders>
              <w:top w:val="single" w:sz="4" w:space="0" w:color="auto"/>
            </w:tcBorders>
          </w:tcPr>
          <w:p w:rsidR="00EF6E80" w:rsidRPr="00A0260A" w:rsidRDefault="00EF6E80"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0.77</w:t>
            </w:r>
          </w:p>
        </w:tc>
        <w:tc>
          <w:tcPr>
            <w:tcW w:w="1980" w:type="dxa"/>
            <w:tcBorders>
              <w:top w:val="single" w:sz="4" w:space="0" w:color="auto"/>
            </w:tcBorders>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(0.64 - 0.92)</w:t>
            </w:r>
          </w:p>
        </w:tc>
        <w:tc>
          <w:tcPr>
            <w:tcW w:w="1530" w:type="dxa"/>
            <w:tcBorders>
              <w:top w:val="single" w:sz="4" w:space="0" w:color="auto"/>
            </w:tcBorders>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0.004</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Age category</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&lt; 65 years</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1.16</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(0.87 - 1.55)</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0.301</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65-84 years</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 85 years</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1.04</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(0.84 - 1.28)</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0.713</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Gender</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Male</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1.36</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(1.13 - 1.63)</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0.001</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Female</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Race</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White</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Black or African-American</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1.09</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(0.86 - 1.37)</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0.484</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Hispanic/Latino</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0.52</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(0.3 - 0.93)</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0.027</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Asian</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0.87</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(0.5 - 1.51)</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0.627</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Other</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[dropped]</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NA</w:t>
            </w: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NA</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Preferred Language</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English</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Russian</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0.76</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(0.53 - 1.1</w:t>
            </w:r>
            <w:r w:rsidR="00907527" w:rsidRPr="00A0260A">
              <w:rPr>
                <w:rFonts w:ascii="Times New Roman" w:hAnsi="Times New Roman" w:cs="Times New Roman"/>
                <w:sz w:val="21"/>
                <w:szCs w:val="21"/>
              </w:rPr>
              <w:t>0</w:t>
            </w:r>
            <w:r w:rsidRPr="00A0260A">
              <w:rPr>
                <w:rFonts w:ascii="Times New Roman" w:hAnsi="Times New Roman" w:cs="Times New Roman"/>
                <w:sz w:val="21"/>
                <w:szCs w:val="21"/>
              </w:rPr>
              <w:t>)</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0.143</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Farsi</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0.82</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(0.58 - 1.16)</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0.26</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Spanish</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1.92</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(1.02 - 3.62)</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0.044</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Other non-English </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1.75</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(1.12 - 2.74)</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0.015</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Payer</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Medicare Fee-For-Service</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Dual Eligible</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1.44</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(1.06 - 1.95)</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0.018</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Other</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0.99</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(0.72 - 1.36)</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0.968</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Hospital Clinical Service Line</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Orthopedic surgery</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General Internal Medicine</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1.34</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(0.99 - 1.81)</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0.057</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General Surgery</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1.14</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(0.77 - 1.69)</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0.52</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Cardiology – Medical</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1.68</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(1.19 - 2.39)</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0.004</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Cardiology – Interventional</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1.98</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(1.34 - 2.92)</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0.001</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Gastroenterology</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1.61</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(1.07 - 2.41)</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0.022</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Pulmonary</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0.91</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(0.59 - 1.39)</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0.651</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Neurology</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0.90</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(0.61 - 1.34)</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0.617</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Other surgical</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1.34</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(0.99 - 1.81)</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0.057</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Psychiatry</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1.80</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(0.47 - 6.81)</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0.389</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Other service</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1.35</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(0.89 - 2.03)</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0.159</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APR-DRG Severity</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Minor</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0.75</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(0.48 - 1.18)</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0.21</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Moderate</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Major</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0.75</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(0.48 - 1.18)</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0.21</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Extreme</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0.75</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(0.48 - 1.18)</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0.21</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Index Hospital Length of Stay</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1 to 3 days</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0.75</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(0.56 - 0.99)</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0.046</w:t>
            </w:r>
          </w:p>
        </w:tc>
      </w:tr>
      <w:tr w:rsidR="00EF6E80" w:rsidRPr="003D49BB" w:rsidTr="00C02A6E">
        <w:tc>
          <w:tcPr>
            <w:tcW w:w="3895" w:type="dxa"/>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4 to 5 days</w:t>
            </w:r>
          </w:p>
        </w:tc>
        <w:tc>
          <w:tcPr>
            <w:tcW w:w="216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0.80</w:t>
            </w:r>
          </w:p>
        </w:tc>
        <w:tc>
          <w:tcPr>
            <w:tcW w:w="198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(0.61 - 1.05)</w:t>
            </w:r>
          </w:p>
        </w:tc>
        <w:tc>
          <w:tcPr>
            <w:tcW w:w="1530" w:type="dxa"/>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0.107</w:t>
            </w:r>
          </w:p>
        </w:tc>
      </w:tr>
      <w:tr w:rsidR="00A509B6" w:rsidRPr="003D49BB" w:rsidTr="00C02A6E">
        <w:tc>
          <w:tcPr>
            <w:tcW w:w="3895" w:type="dxa"/>
          </w:tcPr>
          <w:p w:rsidR="00A509B6" w:rsidRPr="00A0260A" w:rsidRDefault="00A509B6" w:rsidP="00633BD2">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6 to 9 days</w:t>
            </w:r>
          </w:p>
        </w:tc>
        <w:tc>
          <w:tcPr>
            <w:tcW w:w="2160" w:type="dxa"/>
          </w:tcPr>
          <w:p w:rsidR="00A509B6" w:rsidRPr="00A0260A" w:rsidRDefault="00A509B6" w:rsidP="00EF6E80">
            <w:pPr>
              <w:spacing w:line="276" w:lineRule="auto"/>
              <w:jc w:val="center"/>
              <w:rPr>
                <w:rFonts w:ascii="Times New Roman" w:hAnsi="Times New Roman" w:cs="Times New Roman"/>
                <w:sz w:val="21"/>
                <w:szCs w:val="21"/>
              </w:rPr>
            </w:pPr>
            <w:r w:rsidRPr="00A0260A">
              <w:rPr>
                <w:rFonts w:ascii="Times New Roman" w:hAnsi="Times New Roman" w:cs="Times New Roman"/>
                <w:sz w:val="21"/>
                <w:szCs w:val="21"/>
              </w:rPr>
              <w:t>Reference</w:t>
            </w:r>
          </w:p>
        </w:tc>
        <w:tc>
          <w:tcPr>
            <w:tcW w:w="1980" w:type="dxa"/>
          </w:tcPr>
          <w:p w:rsidR="00A509B6" w:rsidRPr="00A0260A" w:rsidRDefault="00A509B6" w:rsidP="00EF6E80">
            <w:pPr>
              <w:spacing w:line="276" w:lineRule="auto"/>
              <w:jc w:val="center"/>
              <w:rPr>
                <w:rFonts w:ascii="Times New Roman" w:hAnsi="Times New Roman" w:cs="Times New Roman"/>
                <w:sz w:val="21"/>
                <w:szCs w:val="21"/>
              </w:rPr>
            </w:pPr>
          </w:p>
        </w:tc>
        <w:tc>
          <w:tcPr>
            <w:tcW w:w="1530" w:type="dxa"/>
          </w:tcPr>
          <w:p w:rsidR="00A509B6" w:rsidRPr="00A0260A" w:rsidRDefault="00A509B6" w:rsidP="00EF6E80">
            <w:pPr>
              <w:spacing w:line="276" w:lineRule="auto"/>
              <w:jc w:val="center"/>
              <w:rPr>
                <w:rFonts w:ascii="Times New Roman" w:hAnsi="Times New Roman" w:cs="Times New Roman"/>
                <w:sz w:val="21"/>
                <w:szCs w:val="21"/>
              </w:rPr>
            </w:pPr>
          </w:p>
        </w:tc>
      </w:tr>
      <w:tr w:rsidR="00EF6E80" w:rsidRPr="003D49BB" w:rsidTr="00C02A6E">
        <w:tc>
          <w:tcPr>
            <w:tcW w:w="3895" w:type="dxa"/>
            <w:tcBorders>
              <w:bottom w:val="single" w:sz="4" w:space="0" w:color="auto"/>
            </w:tcBorders>
          </w:tcPr>
          <w:p w:rsidR="00EF6E80" w:rsidRPr="00A0260A" w:rsidRDefault="00EF6E80" w:rsidP="00EF6E80">
            <w:pPr>
              <w:spacing w:line="276" w:lineRule="auto"/>
              <w:rPr>
                <w:rFonts w:ascii="Times New Roman" w:hAnsi="Times New Roman" w:cs="Times New Roman"/>
                <w:sz w:val="21"/>
                <w:szCs w:val="21"/>
              </w:rPr>
            </w:pPr>
            <w:r w:rsidRPr="00A0260A">
              <w:rPr>
                <w:rFonts w:ascii="Times New Roman" w:hAnsi="Times New Roman" w:cs="Times New Roman"/>
                <w:sz w:val="21"/>
                <w:szCs w:val="21"/>
              </w:rPr>
              <w:t xml:space="preserve">     &gt; 9 days</w:t>
            </w:r>
          </w:p>
        </w:tc>
        <w:tc>
          <w:tcPr>
            <w:tcW w:w="2160" w:type="dxa"/>
            <w:tcBorders>
              <w:bottom w:val="single" w:sz="4" w:space="0" w:color="auto"/>
            </w:tcBorders>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1.60</w:t>
            </w:r>
          </w:p>
        </w:tc>
        <w:tc>
          <w:tcPr>
            <w:tcW w:w="1980" w:type="dxa"/>
            <w:tcBorders>
              <w:bottom w:val="single" w:sz="4" w:space="0" w:color="auto"/>
            </w:tcBorders>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(1.25 - 2.05)</w:t>
            </w:r>
          </w:p>
        </w:tc>
        <w:tc>
          <w:tcPr>
            <w:tcW w:w="1530" w:type="dxa"/>
            <w:tcBorders>
              <w:bottom w:val="single" w:sz="4" w:space="0" w:color="auto"/>
            </w:tcBorders>
          </w:tcPr>
          <w:p w:rsidR="00EF6E80" w:rsidRPr="00A0260A" w:rsidRDefault="00EF6E80" w:rsidP="00EF6E80">
            <w:pPr>
              <w:jc w:val="center"/>
              <w:rPr>
                <w:rFonts w:ascii="Times New Roman" w:hAnsi="Times New Roman" w:cs="Times New Roman"/>
                <w:sz w:val="21"/>
                <w:szCs w:val="21"/>
              </w:rPr>
            </w:pPr>
            <w:r w:rsidRPr="00A0260A">
              <w:rPr>
                <w:rFonts w:ascii="Times New Roman" w:hAnsi="Times New Roman" w:cs="Times New Roman"/>
                <w:sz w:val="21"/>
                <w:szCs w:val="21"/>
              </w:rPr>
              <w:t>&lt; 0.001</w:t>
            </w:r>
          </w:p>
        </w:tc>
      </w:tr>
    </w:tbl>
    <w:p w:rsidR="00192BDC" w:rsidRDefault="00192BDC" w:rsidP="00192BDC">
      <w:pPr>
        <w:rPr>
          <w:rFonts w:ascii="Times New Roman" w:hAnsi="Times New Roman" w:cs="Times New Roman"/>
        </w:rPr>
      </w:pPr>
    </w:p>
    <w:p w:rsidR="00A0260A" w:rsidRPr="003D49BB" w:rsidRDefault="00A0260A" w:rsidP="00835FE0">
      <w:pPr>
        <w:spacing w:after="120" w:line="276" w:lineRule="auto"/>
        <w:rPr>
          <w:rFonts w:ascii="Times New Roman" w:hAnsi="Times New Roman" w:cs="Times New Roman"/>
        </w:rPr>
      </w:pPr>
      <w:r w:rsidRPr="003D49BB">
        <w:rPr>
          <w:rFonts w:ascii="Times New Roman" w:hAnsi="Times New Roman" w:cs="Times New Roman"/>
        </w:rPr>
        <w:t xml:space="preserve">The Average Treatment Effect associated with the </w:t>
      </w:r>
      <w:r>
        <w:rPr>
          <w:rFonts w:ascii="Times New Roman" w:hAnsi="Times New Roman" w:cs="Times New Roman"/>
        </w:rPr>
        <w:t>ECP</w:t>
      </w:r>
      <w:r w:rsidRPr="003D49BB">
        <w:rPr>
          <w:rFonts w:ascii="Times New Roman" w:hAnsi="Times New Roman" w:cs="Times New Roman"/>
        </w:rPr>
        <w:t xml:space="preserve"> was a reduction in the readmission rate of -5.1% (95% CI -7.9% to -2.5%). The Average Treatment Effect on the Treated was -5.3% (95% CI -8.2% to -2.4%) and the Average Treatment Effect on the Controls was -4.7% (95% CI -7.5% to -1.9%). The evaluation of standardized cluster differences between the ECP and non-ECP groups before and after Inverse Probability Treatment Weighting (</w:t>
      </w:r>
      <w:r>
        <w:rPr>
          <w:rFonts w:ascii="Times New Roman" w:hAnsi="Times New Roman" w:cs="Times New Roman"/>
        </w:rPr>
        <w:t xml:space="preserve">Supplement </w:t>
      </w:r>
      <w:r w:rsidRPr="003D49BB">
        <w:rPr>
          <w:rFonts w:ascii="Times New Roman" w:hAnsi="Times New Roman" w:cs="Times New Roman"/>
        </w:rPr>
        <w:t xml:space="preserve">Figure 1) showed that the differences were reduced to less than 10% for being African American, speaking Russian or Farsi, having Dual Eligible insurance coverage, Orthopedic surgery, being discharged from the clinical service lines of Gastroenterology, Pulmonary, Other Surgery, and Other Services, and having an index hospital LOS of 4 to 5 days or 10 or more days.  </w:t>
      </w:r>
    </w:p>
    <w:p w:rsidR="00A0260A" w:rsidRPr="003D49BB" w:rsidRDefault="00A0260A" w:rsidP="00A0260A">
      <w:pPr>
        <w:pStyle w:val="TableCaption"/>
        <w:rPr>
          <w:rFonts w:ascii="Times New Roman" w:hAnsi="Times New Roman" w:cs="Times New Roman"/>
          <w:sz w:val="22"/>
          <w:szCs w:val="22"/>
        </w:rPr>
      </w:pPr>
    </w:p>
    <w:p w:rsidR="00A0260A" w:rsidRDefault="00A0260A">
      <w:pPr>
        <w:spacing w:after="200" w:line="276" w:lineRule="auto"/>
        <w:rPr>
          <w:rFonts w:ascii="Times New Roman" w:hAnsi="Times New Roman" w:cs="Times New Roman"/>
        </w:rPr>
      </w:pPr>
      <w:r>
        <w:rPr>
          <w:rFonts w:ascii="Times New Roman" w:hAnsi="Times New Roman" w:cs="Times New Roman"/>
        </w:rPr>
        <w:br w:type="page"/>
      </w:r>
    </w:p>
    <w:p w:rsidR="00A0260A" w:rsidRDefault="00A0260A" w:rsidP="00192BDC">
      <w:pPr>
        <w:rPr>
          <w:rFonts w:ascii="Times New Roman" w:hAnsi="Times New Roman" w:cs="Times New Roman"/>
        </w:rPr>
      </w:pPr>
      <w:r w:rsidRPr="00A0260A">
        <w:rPr>
          <w:rFonts w:ascii="Times New Roman" w:hAnsi="Times New Roman" w:cs="Times New Roman"/>
        </w:rPr>
        <w:lastRenderedPageBreak/>
        <w:t>Supplement Figure 1. Standardized cluster differences between ECP and Non-ECP groups before and after Inverse Propensity Treatment Weighting</w:t>
      </w:r>
    </w:p>
    <w:p w:rsidR="00A0260A" w:rsidRPr="00A0260A" w:rsidRDefault="00A0260A" w:rsidP="00192BDC">
      <w:pPr>
        <w:rPr>
          <w:rFonts w:ascii="Times New Roman" w:hAnsi="Times New Roman" w:cs="Times New Roman"/>
        </w:rPr>
      </w:pPr>
    </w:p>
    <w:p w:rsidR="00B85BEF" w:rsidRPr="003D49BB" w:rsidRDefault="009433EA" w:rsidP="00192BDC">
      <w:pPr>
        <w:rPr>
          <w:rFonts w:ascii="Times New Roman" w:hAnsi="Times New Roman" w:cs="Times New Roman"/>
        </w:rPr>
      </w:pPr>
      <w:r w:rsidRPr="003D49BB">
        <w:rPr>
          <w:rFonts w:ascii="Times New Roman" w:hAnsi="Times New Roman" w:cs="Times New Roman"/>
          <w:noProof/>
        </w:rPr>
        <w:drawing>
          <wp:inline distT="0" distB="0" distL="0" distR="0" wp14:anchorId="1B2C8148" wp14:editId="5EF3EFD3">
            <wp:extent cx="5772150" cy="76771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bwMode="auto">
                    <a:xfrm>
                      <a:off x="0" y="0"/>
                      <a:ext cx="5772150" cy="7677150"/>
                    </a:xfrm>
                    <a:prstGeom prst="rect">
                      <a:avLst/>
                    </a:prstGeom>
                    <a:noFill/>
                    <a:ln w="9525">
                      <a:noFill/>
                      <a:headEnd/>
                      <a:tailEnd/>
                    </a:ln>
                  </pic:spPr>
                </pic:pic>
              </a:graphicData>
            </a:graphic>
          </wp:inline>
        </w:drawing>
      </w:r>
    </w:p>
    <w:p w:rsidR="003D49BB" w:rsidRPr="00A0260A" w:rsidRDefault="003D49BB" w:rsidP="003D49BB">
      <w:pPr>
        <w:pStyle w:val="ImageCaption"/>
        <w:rPr>
          <w:i w:val="0"/>
        </w:rPr>
      </w:pPr>
      <w:r w:rsidRPr="00A0260A">
        <w:rPr>
          <w:i w:val="0"/>
        </w:rPr>
        <w:br w:type="page"/>
      </w:r>
    </w:p>
    <w:p w:rsidR="00F45FE7" w:rsidRPr="003D49BB" w:rsidRDefault="00A0260A" w:rsidP="00A0260A">
      <w:pPr>
        <w:pStyle w:val="ImageCaption"/>
        <w:rPr>
          <w:rFonts w:ascii="Times New Roman" w:hAnsi="Times New Roman" w:cs="Times New Roman"/>
          <w:i w:val="0"/>
          <w:sz w:val="22"/>
          <w:szCs w:val="22"/>
        </w:rPr>
      </w:pPr>
      <w:r>
        <w:rPr>
          <w:rFonts w:ascii="Times New Roman" w:hAnsi="Times New Roman" w:cs="Times New Roman"/>
          <w:i w:val="0"/>
        </w:rPr>
        <w:lastRenderedPageBreak/>
        <w:t xml:space="preserve">SUPPLEMENT </w:t>
      </w:r>
      <w:r w:rsidR="003D49BB" w:rsidRPr="003D49BB">
        <w:rPr>
          <w:rFonts w:ascii="Times New Roman" w:hAnsi="Times New Roman" w:cs="Times New Roman"/>
          <w:i w:val="0"/>
        </w:rPr>
        <w:t>REFERENCES</w:t>
      </w:r>
    </w:p>
    <w:p w:rsidR="002D5924" w:rsidRPr="003D49BB" w:rsidRDefault="002D5924" w:rsidP="003D49BB">
      <w:pPr>
        <w:pStyle w:val="FirstParagraph"/>
        <w:numPr>
          <w:ilvl w:val="0"/>
          <w:numId w:val="1"/>
        </w:numPr>
        <w:rPr>
          <w:rFonts w:ascii="Times New Roman" w:hAnsi="Times New Roman" w:cs="Times New Roman"/>
          <w:sz w:val="22"/>
          <w:szCs w:val="22"/>
        </w:rPr>
      </w:pPr>
      <w:r w:rsidRPr="003D49BB">
        <w:rPr>
          <w:rFonts w:ascii="Times New Roman" w:hAnsi="Times New Roman" w:cs="Times New Roman"/>
          <w:sz w:val="22"/>
          <w:szCs w:val="22"/>
        </w:rPr>
        <w:t>R Core Team (2016). R: A language and environment for statistical computing. R Foundation for Statistical Computing, Vienna, Austria.</w:t>
      </w:r>
      <w:r w:rsidRPr="003D49BB">
        <w:rPr>
          <w:rFonts w:ascii="Times New Roman" w:hAnsi="Times New Roman" w:cs="Times New Roman"/>
          <w:sz w:val="22"/>
          <w:szCs w:val="22"/>
        </w:rPr>
        <w:br/>
        <w:t xml:space="preserve">URL </w:t>
      </w:r>
      <w:hyperlink r:id="rId6" w:history="1">
        <w:r w:rsidRPr="003D49BB">
          <w:rPr>
            <w:rStyle w:val="Hyperlink"/>
            <w:rFonts w:ascii="Times New Roman" w:hAnsi="Times New Roman" w:cs="Times New Roman"/>
            <w:sz w:val="22"/>
            <w:szCs w:val="22"/>
            <w:u w:val="single"/>
          </w:rPr>
          <w:t>https://www.R-project.org/</w:t>
        </w:r>
      </w:hyperlink>
    </w:p>
    <w:p w:rsidR="002D5924" w:rsidRPr="003D49BB" w:rsidRDefault="002D5924" w:rsidP="003D49BB">
      <w:pPr>
        <w:pStyle w:val="BodyText"/>
        <w:numPr>
          <w:ilvl w:val="0"/>
          <w:numId w:val="1"/>
        </w:numPr>
        <w:rPr>
          <w:rFonts w:ascii="Times New Roman" w:hAnsi="Times New Roman" w:cs="Times New Roman"/>
        </w:rPr>
      </w:pPr>
      <w:r w:rsidRPr="003D49BB">
        <w:rPr>
          <w:rFonts w:ascii="Times New Roman" w:hAnsi="Times New Roman" w:cs="Times New Roman"/>
        </w:rPr>
        <w:t xml:space="preserve">Li F, </w:t>
      </w:r>
      <w:proofErr w:type="spellStart"/>
      <w:r w:rsidRPr="003D49BB">
        <w:rPr>
          <w:rFonts w:ascii="Times New Roman" w:hAnsi="Times New Roman" w:cs="Times New Roman"/>
        </w:rPr>
        <w:t>Zaslavsky</w:t>
      </w:r>
      <w:proofErr w:type="spellEnd"/>
      <w:r w:rsidRPr="003D49BB">
        <w:rPr>
          <w:rFonts w:ascii="Times New Roman" w:hAnsi="Times New Roman" w:cs="Times New Roman"/>
        </w:rPr>
        <w:t xml:space="preserve"> AM, Landrum MB. Propensity score weighting with multilevel data. </w:t>
      </w:r>
      <w:r w:rsidRPr="00503BFF">
        <w:rPr>
          <w:rFonts w:ascii="Times New Roman" w:hAnsi="Times New Roman" w:cs="Times New Roman"/>
          <w:i/>
        </w:rPr>
        <w:t xml:space="preserve">Statistics in </w:t>
      </w:r>
      <w:r w:rsidR="00503BFF">
        <w:rPr>
          <w:rFonts w:ascii="Times New Roman" w:hAnsi="Times New Roman" w:cs="Times New Roman"/>
          <w:i/>
        </w:rPr>
        <w:t>M</w:t>
      </w:r>
      <w:r w:rsidRPr="00503BFF">
        <w:rPr>
          <w:rFonts w:ascii="Times New Roman" w:hAnsi="Times New Roman" w:cs="Times New Roman"/>
          <w:i/>
        </w:rPr>
        <w:t>edicine</w:t>
      </w:r>
      <w:r w:rsidR="00503BFF">
        <w:rPr>
          <w:rFonts w:ascii="Times New Roman" w:hAnsi="Times New Roman" w:cs="Times New Roman"/>
          <w:i/>
        </w:rPr>
        <w:t xml:space="preserve"> </w:t>
      </w:r>
      <w:r w:rsidR="00503BFF">
        <w:rPr>
          <w:rFonts w:ascii="Times New Roman" w:hAnsi="Times New Roman" w:cs="Times New Roman"/>
        </w:rPr>
        <w:t>2013;</w:t>
      </w:r>
      <w:r w:rsidRPr="003D49BB">
        <w:rPr>
          <w:rFonts w:ascii="Times New Roman" w:hAnsi="Times New Roman" w:cs="Times New Roman"/>
        </w:rPr>
        <w:t xml:space="preserve"> 32</w:t>
      </w:r>
      <w:r w:rsidR="00503BFF">
        <w:rPr>
          <w:rFonts w:ascii="Times New Roman" w:hAnsi="Times New Roman" w:cs="Times New Roman"/>
        </w:rPr>
        <w:t>:</w:t>
      </w:r>
      <w:r w:rsidRPr="003D49BB">
        <w:rPr>
          <w:rFonts w:ascii="Times New Roman" w:hAnsi="Times New Roman" w:cs="Times New Roman"/>
        </w:rPr>
        <w:t xml:space="preserve"> 3373-3387.</w:t>
      </w:r>
    </w:p>
    <w:p w:rsidR="002D5924" w:rsidRPr="003D49BB" w:rsidRDefault="002D5924" w:rsidP="003D49BB">
      <w:pPr>
        <w:pStyle w:val="BodyText"/>
        <w:numPr>
          <w:ilvl w:val="0"/>
          <w:numId w:val="1"/>
        </w:numPr>
        <w:rPr>
          <w:rFonts w:ascii="Times New Roman" w:hAnsi="Times New Roman" w:cs="Times New Roman"/>
        </w:rPr>
      </w:pPr>
      <w:r w:rsidRPr="003D49BB">
        <w:rPr>
          <w:rFonts w:ascii="Times New Roman" w:hAnsi="Times New Roman" w:cs="Times New Roman"/>
        </w:rPr>
        <w:t xml:space="preserve">Austin PC, </w:t>
      </w:r>
      <w:r w:rsidR="00503BFF">
        <w:rPr>
          <w:rFonts w:ascii="Times New Roman" w:hAnsi="Times New Roman" w:cs="Times New Roman"/>
        </w:rPr>
        <w:t>S</w:t>
      </w:r>
      <w:r w:rsidRPr="003D49BB">
        <w:rPr>
          <w:rFonts w:ascii="Times New Roman" w:hAnsi="Times New Roman" w:cs="Times New Roman"/>
        </w:rPr>
        <w:t xml:space="preserve">tuart EA. Moving towards best practice when using inverse probability of treatment weighting (IPTW) using the propensity score to estimate causal treatment effects in observational studies. </w:t>
      </w:r>
      <w:r w:rsidR="00503BFF">
        <w:rPr>
          <w:rFonts w:ascii="Times New Roman" w:hAnsi="Times New Roman" w:cs="Times New Roman"/>
          <w:i/>
        </w:rPr>
        <w:t>Statistics in M</w:t>
      </w:r>
      <w:r w:rsidRPr="00503BFF">
        <w:rPr>
          <w:rFonts w:ascii="Times New Roman" w:hAnsi="Times New Roman" w:cs="Times New Roman"/>
          <w:i/>
        </w:rPr>
        <w:t>edicine</w:t>
      </w:r>
      <w:r w:rsidR="00503BFF">
        <w:rPr>
          <w:rFonts w:ascii="Times New Roman" w:hAnsi="Times New Roman" w:cs="Times New Roman"/>
          <w:i/>
        </w:rPr>
        <w:t xml:space="preserve"> </w:t>
      </w:r>
      <w:r w:rsidR="00503BFF">
        <w:rPr>
          <w:rFonts w:ascii="Times New Roman" w:hAnsi="Times New Roman" w:cs="Times New Roman"/>
        </w:rPr>
        <w:t>2015;</w:t>
      </w:r>
      <w:r w:rsidRPr="003D49BB">
        <w:rPr>
          <w:rFonts w:ascii="Times New Roman" w:hAnsi="Times New Roman" w:cs="Times New Roman"/>
        </w:rPr>
        <w:t xml:space="preserve"> 34</w:t>
      </w:r>
      <w:r w:rsidR="00503BFF">
        <w:rPr>
          <w:rFonts w:ascii="Times New Roman" w:hAnsi="Times New Roman" w:cs="Times New Roman"/>
        </w:rPr>
        <w:t>:</w:t>
      </w:r>
      <w:r w:rsidRPr="003D49BB">
        <w:rPr>
          <w:rFonts w:ascii="Times New Roman" w:hAnsi="Times New Roman" w:cs="Times New Roman"/>
        </w:rPr>
        <w:t xml:space="preserve"> 3661-3679.</w:t>
      </w:r>
    </w:p>
    <w:p w:rsidR="002D5924" w:rsidRPr="003D49BB" w:rsidRDefault="002D5924" w:rsidP="00192BDC">
      <w:pPr>
        <w:rPr>
          <w:rFonts w:ascii="Times New Roman" w:hAnsi="Times New Roman" w:cs="Times New Roman"/>
        </w:rPr>
      </w:pPr>
      <w:bookmarkStart w:id="0" w:name="_GoBack"/>
      <w:bookmarkEnd w:id="0"/>
    </w:p>
    <w:sectPr w:rsidR="002D5924" w:rsidRPr="003D49BB" w:rsidSect="00633BD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3B7F"/>
    <w:multiLevelType w:val="hybridMultilevel"/>
    <w:tmpl w:val="5F1AF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DC"/>
    <w:rsid w:val="00176DDE"/>
    <w:rsid w:val="00192BDC"/>
    <w:rsid w:val="001C06EC"/>
    <w:rsid w:val="002A49B6"/>
    <w:rsid w:val="002D5924"/>
    <w:rsid w:val="003D1D18"/>
    <w:rsid w:val="003D49BB"/>
    <w:rsid w:val="00503BFF"/>
    <w:rsid w:val="005F4D4C"/>
    <w:rsid w:val="00617A47"/>
    <w:rsid w:val="00633BD2"/>
    <w:rsid w:val="007346F2"/>
    <w:rsid w:val="007E3ABC"/>
    <w:rsid w:val="007F0AAE"/>
    <w:rsid w:val="00835FE0"/>
    <w:rsid w:val="00907527"/>
    <w:rsid w:val="009433EA"/>
    <w:rsid w:val="009564FD"/>
    <w:rsid w:val="00A0260A"/>
    <w:rsid w:val="00A509B6"/>
    <w:rsid w:val="00AF2C64"/>
    <w:rsid w:val="00B85BEF"/>
    <w:rsid w:val="00BF5732"/>
    <w:rsid w:val="00C02A6E"/>
    <w:rsid w:val="00D012D3"/>
    <w:rsid w:val="00EE4668"/>
    <w:rsid w:val="00EF6E80"/>
    <w:rsid w:val="00F45FE7"/>
    <w:rsid w:val="00F46200"/>
    <w:rsid w:val="00FA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6B6D"/>
  <w15:docId w15:val="{920E2292-7740-4B79-8E0F-33FC1C35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DC"/>
    <w:pPr>
      <w:spacing w:after="0" w:line="240" w:lineRule="auto"/>
    </w:pPr>
  </w:style>
  <w:style w:type="paragraph" w:styleId="Heading2">
    <w:name w:val="heading 2"/>
    <w:basedOn w:val="Normal"/>
    <w:next w:val="BodyText"/>
    <w:link w:val="Heading2Char"/>
    <w:uiPriority w:val="9"/>
    <w:semiHidden/>
    <w:unhideWhenUsed/>
    <w:qFormat/>
    <w:rsid w:val="009433EA"/>
    <w:pPr>
      <w:keepNext/>
      <w:keepLines/>
      <w:spacing w:before="200"/>
      <w:outlineLvl w:val="1"/>
    </w:pPr>
    <w:rPr>
      <w:rFonts w:asciiTheme="majorHAnsi" w:eastAsiaTheme="majorEastAsia" w:hAnsiTheme="majorHAnsi" w:cstheme="majorBidi"/>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BodyText"/>
    <w:qFormat/>
    <w:rsid w:val="00EF6E80"/>
    <w:pPr>
      <w:spacing w:before="36" w:after="36"/>
    </w:pPr>
    <w:rPr>
      <w:sz w:val="24"/>
      <w:szCs w:val="24"/>
    </w:rPr>
  </w:style>
  <w:style w:type="paragraph" w:styleId="BodyText">
    <w:name w:val="Body Text"/>
    <w:basedOn w:val="Normal"/>
    <w:link w:val="BodyTextChar"/>
    <w:uiPriority w:val="99"/>
    <w:unhideWhenUsed/>
    <w:rsid w:val="00EF6E80"/>
    <w:pPr>
      <w:spacing w:after="120"/>
    </w:pPr>
  </w:style>
  <w:style w:type="character" w:customStyle="1" w:styleId="BodyTextChar">
    <w:name w:val="Body Text Char"/>
    <w:basedOn w:val="DefaultParagraphFont"/>
    <w:link w:val="BodyText"/>
    <w:uiPriority w:val="99"/>
    <w:rsid w:val="00EF6E80"/>
  </w:style>
  <w:style w:type="paragraph" w:customStyle="1" w:styleId="TableCaption">
    <w:name w:val="Table Caption"/>
    <w:basedOn w:val="Caption"/>
    <w:rsid w:val="009433EA"/>
    <w:pPr>
      <w:keepNext/>
      <w:spacing w:after="120"/>
    </w:pPr>
    <w:rPr>
      <w:iCs w:val="0"/>
      <w:color w:val="auto"/>
      <w:sz w:val="24"/>
      <w:szCs w:val="24"/>
    </w:rPr>
  </w:style>
  <w:style w:type="paragraph" w:styleId="Caption">
    <w:name w:val="caption"/>
    <w:basedOn w:val="Normal"/>
    <w:next w:val="Normal"/>
    <w:uiPriority w:val="35"/>
    <w:semiHidden/>
    <w:unhideWhenUsed/>
    <w:qFormat/>
    <w:rsid w:val="009433EA"/>
    <w:pPr>
      <w:spacing w:after="200"/>
    </w:pPr>
    <w:rPr>
      <w:i/>
      <w:iCs/>
      <w:color w:val="1F497D" w:themeColor="text2"/>
      <w:sz w:val="18"/>
      <w:szCs w:val="18"/>
    </w:rPr>
  </w:style>
  <w:style w:type="paragraph" w:customStyle="1" w:styleId="ImageCaption">
    <w:name w:val="Image Caption"/>
    <w:basedOn w:val="Caption"/>
    <w:rsid w:val="009433EA"/>
    <w:pPr>
      <w:spacing w:after="120"/>
    </w:pPr>
    <w:rPr>
      <w:iCs w:val="0"/>
      <w:color w:val="auto"/>
      <w:sz w:val="24"/>
      <w:szCs w:val="24"/>
    </w:rPr>
  </w:style>
  <w:style w:type="character" w:customStyle="1" w:styleId="Heading2Char">
    <w:name w:val="Heading 2 Char"/>
    <w:basedOn w:val="DefaultParagraphFont"/>
    <w:link w:val="Heading2"/>
    <w:uiPriority w:val="9"/>
    <w:semiHidden/>
    <w:rsid w:val="009433EA"/>
    <w:rPr>
      <w:rFonts w:asciiTheme="majorHAnsi" w:eastAsiaTheme="majorEastAsia" w:hAnsiTheme="majorHAnsi" w:cstheme="majorBidi"/>
      <w:b/>
      <w:bCs/>
      <w:color w:val="4F81BD" w:themeColor="accent1"/>
      <w:sz w:val="32"/>
      <w:szCs w:val="32"/>
    </w:rPr>
  </w:style>
  <w:style w:type="paragraph" w:customStyle="1" w:styleId="FirstParagraph">
    <w:name w:val="First Paragraph"/>
    <w:basedOn w:val="BodyText"/>
    <w:next w:val="BodyText"/>
    <w:qFormat/>
    <w:rsid w:val="009433EA"/>
    <w:pPr>
      <w:spacing w:before="180" w:after="180"/>
    </w:pPr>
    <w:rPr>
      <w:sz w:val="24"/>
      <w:szCs w:val="24"/>
    </w:rPr>
  </w:style>
  <w:style w:type="character" w:styleId="Hyperlink">
    <w:name w:val="Hyperlink"/>
    <w:basedOn w:val="DefaultParagraphFont"/>
    <w:semiHidden/>
    <w:unhideWhenUsed/>
    <w:rsid w:val="002D5924"/>
    <w:rPr>
      <w:color w:val="4F81BD" w:themeColor="accent1"/>
    </w:rPr>
  </w:style>
  <w:style w:type="character" w:styleId="CommentReference">
    <w:name w:val="annotation reference"/>
    <w:basedOn w:val="DefaultParagraphFont"/>
    <w:uiPriority w:val="99"/>
    <w:semiHidden/>
    <w:unhideWhenUsed/>
    <w:rsid w:val="00C02A6E"/>
    <w:rPr>
      <w:sz w:val="16"/>
      <w:szCs w:val="16"/>
    </w:rPr>
  </w:style>
  <w:style w:type="paragraph" w:styleId="CommentText">
    <w:name w:val="annotation text"/>
    <w:basedOn w:val="Normal"/>
    <w:link w:val="CommentTextChar"/>
    <w:uiPriority w:val="99"/>
    <w:semiHidden/>
    <w:unhideWhenUsed/>
    <w:rsid w:val="00C02A6E"/>
    <w:pPr>
      <w:spacing w:after="160"/>
    </w:pPr>
    <w:rPr>
      <w:sz w:val="20"/>
      <w:szCs w:val="20"/>
    </w:rPr>
  </w:style>
  <w:style w:type="character" w:customStyle="1" w:styleId="CommentTextChar">
    <w:name w:val="Comment Text Char"/>
    <w:basedOn w:val="DefaultParagraphFont"/>
    <w:link w:val="CommentText"/>
    <w:uiPriority w:val="99"/>
    <w:semiHidden/>
    <w:rsid w:val="00C02A6E"/>
    <w:rPr>
      <w:sz w:val="20"/>
      <w:szCs w:val="20"/>
    </w:rPr>
  </w:style>
  <w:style w:type="paragraph" w:styleId="BalloonText">
    <w:name w:val="Balloon Text"/>
    <w:basedOn w:val="Normal"/>
    <w:link w:val="BalloonTextChar"/>
    <w:uiPriority w:val="99"/>
    <w:semiHidden/>
    <w:unhideWhenUsed/>
    <w:rsid w:val="00C02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360">
      <w:bodyDiv w:val="1"/>
      <w:marLeft w:val="0"/>
      <w:marRight w:val="0"/>
      <w:marTop w:val="0"/>
      <w:marBottom w:val="0"/>
      <w:divBdr>
        <w:top w:val="none" w:sz="0" w:space="0" w:color="auto"/>
        <w:left w:val="none" w:sz="0" w:space="0" w:color="auto"/>
        <w:bottom w:val="none" w:sz="0" w:space="0" w:color="auto"/>
        <w:right w:val="none" w:sz="0" w:space="0" w:color="auto"/>
      </w:divBdr>
    </w:div>
    <w:div w:id="305819335">
      <w:bodyDiv w:val="1"/>
      <w:marLeft w:val="0"/>
      <w:marRight w:val="0"/>
      <w:marTop w:val="0"/>
      <w:marBottom w:val="0"/>
      <w:divBdr>
        <w:top w:val="none" w:sz="0" w:space="0" w:color="auto"/>
        <w:left w:val="none" w:sz="0" w:space="0" w:color="auto"/>
        <w:bottom w:val="none" w:sz="0" w:space="0" w:color="auto"/>
        <w:right w:val="none" w:sz="0" w:space="0" w:color="auto"/>
      </w:divBdr>
    </w:div>
    <w:div w:id="309601466">
      <w:bodyDiv w:val="1"/>
      <w:marLeft w:val="0"/>
      <w:marRight w:val="0"/>
      <w:marTop w:val="0"/>
      <w:marBottom w:val="0"/>
      <w:divBdr>
        <w:top w:val="none" w:sz="0" w:space="0" w:color="auto"/>
        <w:left w:val="none" w:sz="0" w:space="0" w:color="auto"/>
        <w:bottom w:val="none" w:sz="0" w:space="0" w:color="auto"/>
        <w:right w:val="none" w:sz="0" w:space="0" w:color="auto"/>
      </w:divBdr>
    </w:div>
    <w:div w:id="945304596">
      <w:bodyDiv w:val="1"/>
      <w:marLeft w:val="0"/>
      <w:marRight w:val="0"/>
      <w:marTop w:val="0"/>
      <w:marBottom w:val="0"/>
      <w:divBdr>
        <w:top w:val="none" w:sz="0" w:space="0" w:color="auto"/>
        <w:left w:val="none" w:sz="0" w:space="0" w:color="auto"/>
        <w:bottom w:val="none" w:sz="0" w:space="0" w:color="auto"/>
        <w:right w:val="none" w:sz="0" w:space="0" w:color="auto"/>
      </w:divBdr>
    </w:div>
    <w:div w:id="1457026027">
      <w:bodyDiv w:val="1"/>
      <w:marLeft w:val="0"/>
      <w:marRight w:val="0"/>
      <w:marTop w:val="0"/>
      <w:marBottom w:val="0"/>
      <w:divBdr>
        <w:top w:val="none" w:sz="0" w:space="0" w:color="auto"/>
        <w:left w:val="none" w:sz="0" w:space="0" w:color="auto"/>
        <w:bottom w:val="none" w:sz="0" w:space="0" w:color="auto"/>
        <w:right w:val="none" w:sz="0" w:space="0" w:color="auto"/>
      </w:divBdr>
    </w:div>
    <w:div w:id="1458330331">
      <w:bodyDiv w:val="1"/>
      <w:marLeft w:val="0"/>
      <w:marRight w:val="0"/>
      <w:marTop w:val="0"/>
      <w:marBottom w:val="0"/>
      <w:divBdr>
        <w:top w:val="none" w:sz="0" w:space="0" w:color="auto"/>
        <w:left w:val="none" w:sz="0" w:space="0" w:color="auto"/>
        <w:bottom w:val="none" w:sz="0" w:space="0" w:color="auto"/>
        <w:right w:val="none" w:sz="0" w:space="0" w:color="auto"/>
      </w:divBdr>
    </w:div>
    <w:div w:id="1618025481">
      <w:bodyDiv w:val="1"/>
      <w:marLeft w:val="0"/>
      <w:marRight w:val="0"/>
      <w:marTop w:val="0"/>
      <w:marBottom w:val="0"/>
      <w:divBdr>
        <w:top w:val="none" w:sz="0" w:space="0" w:color="auto"/>
        <w:left w:val="none" w:sz="0" w:space="0" w:color="auto"/>
        <w:bottom w:val="none" w:sz="0" w:space="0" w:color="auto"/>
        <w:right w:val="none" w:sz="0" w:space="0" w:color="auto"/>
      </w:divBdr>
    </w:div>
    <w:div w:id="1811557803">
      <w:bodyDiv w:val="1"/>
      <w:marLeft w:val="0"/>
      <w:marRight w:val="0"/>
      <w:marTop w:val="0"/>
      <w:marBottom w:val="0"/>
      <w:divBdr>
        <w:top w:val="none" w:sz="0" w:space="0" w:color="auto"/>
        <w:left w:val="none" w:sz="0" w:space="0" w:color="auto"/>
        <w:bottom w:val="none" w:sz="0" w:space="0" w:color="auto"/>
        <w:right w:val="none" w:sz="0" w:space="0" w:color="auto"/>
      </w:divBdr>
    </w:div>
    <w:div w:id="1872304501">
      <w:bodyDiv w:val="1"/>
      <w:marLeft w:val="0"/>
      <w:marRight w:val="0"/>
      <w:marTop w:val="0"/>
      <w:marBottom w:val="0"/>
      <w:divBdr>
        <w:top w:val="none" w:sz="0" w:space="0" w:color="auto"/>
        <w:left w:val="none" w:sz="0" w:space="0" w:color="auto"/>
        <w:bottom w:val="none" w:sz="0" w:space="0" w:color="auto"/>
        <w:right w:val="none" w:sz="0" w:space="0" w:color="auto"/>
      </w:divBdr>
    </w:div>
    <w:div w:id="21009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roje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Bradley M.D.</dc:creator>
  <cp:lastModifiedBy>Rosen, Bradley M.D.</cp:lastModifiedBy>
  <cp:revision>2</cp:revision>
  <dcterms:created xsi:type="dcterms:W3CDTF">2017-07-11T02:48:00Z</dcterms:created>
  <dcterms:modified xsi:type="dcterms:W3CDTF">2017-07-11T02:48:00Z</dcterms:modified>
</cp:coreProperties>
</file>