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 xml:space="preserve">Appendix </w:t>
      </w:r>
      <w:r w:rsidRPr="00B97799">
        <w:rPr>
          <w:rFonts w:ascii="Times" w:hAnsi="Times"/>
          <w:b/>
          <w:szCs w:val="24"/>
        </w:rPr>
        <w:t>Figure.</w:t>
      </w:r>
      <w:r w:rsidRPr="00E877F3">
        <w:rPr>
          <w:rFonts w:ascii="Times" w:hAnsi="Times"/>
          <w:b/>
          <w:szCs w:val="24"/>
        </w:rPr>
        <w:t xml:space="preserve"> Diagnosis-Specific </w:t>
      </w:r>
      <w:r>
        <w:rPr>
          <w:rFonts w:ascii="Times" w:hAnsi="Times"/>
          <w:b/>
          <w:szCs w:val="24"/>
        </w:rPr>
        <w:t>Seven</w:t>
      </w:r>
      <w:r w:rsidRPr="00E877F3">
        <w:rPr>
          <w:rFonts w:ascii="Times" w:hAnsi="Times"/>
          <w:b/>
          <w:szCs w:val="24"/>
        </w:rPr>
        <w:t>-Day Risk Adjusted PPR and AC rates over time</w:t>
      </w:r>
      <w:r w:rsidRPr="00E877F3">
        <w:rPr>
          <w:rFonts w:ascii="Times" w:hAnsi="Times"/>
          <w:b/>
          <w:szCs w:val="24"/>
        </w:rPr>
        <w:br/>
      </w:r>
      <w:r w:rsidRPr="00E877F3">
        <w:rPr>
          <w:rFonts w:ascii="Times" w:hAnsi="Times"/>
          <w:szCs w:val="24"/>
        </w:rPr>
        <w:t xml:space="preserve">Conditions with a high percentage of AC readmissions classified as PPR are displayed in panels A-F: </w:t>
      </w:r>
      <w:r w:rsidRPr="00E877F3">
        <w:rPr>
          <w:rFonts w:ascii="Times" w:hAnsi="Times"/>
          <w:szCs w:val="24"/>
        </w:rPr>
        <w:br/>
        <w:t xml:space="preserve">A. appendectomy (APR-DRG 225), connective tissue disorders (APR-DRG 346), ventricular shunt procedures (APR-DRG 22), bronchiolitis (APR-DRG 138), asthma (APR-DRG 141), and sickle cell crisis (APR-DRG 662) </w:t>
      </w:r>
      <w:r w:rsidRPr="00E877F3">
        <w:rPr>
          <w:rFonts w:ascii="Times" w:hAnsi="Times"/>
          <w:szCs w:val="24"/>
        </w:rPr>
        <w:br/>
        <w:t xml:space="preserve">Conditions with a low percentage of AC readmissions classified as PPR </w:t>
      </w:r>
      <w:r w:rsidRPr="00E877F3">
        <w:rPr>
          <w:rFonts w:ascii="Times" w:hAnsi="Times"/>
          <w:noProof/>
          <w:szCs w:val="24"/>
        </w:rPr>
        <w:t>are displayed</w:t>
      </w:r>
      <w:r w:rsidRPr="00E877F3">
        <w:rPr>
          <w:rFonts w:ascii="Times" w:hAnsi="Times"/>
          <w:szCs w:val="24"/>
        </w:rPr>
        <w:t xml:space="preserve"> in </w:t>
      </w:r>
      <w:r w:rsidRPr="00E877F3">
        <w:rPr>
          <w:rFonts w:ascii="Times" w:hAnsi="Times"/>
          <w:noProof/>
          <w:szCs w:val="24"/>
        </w:rPr>
        <w:t>panels</w:t>
      </w:r>
      <w:r w:rsidRPr="00E877F3">
        <w:rPr>
          <w:rFonts w:ascii="Times" w:hAnsi="Times"/>
          <w:szCs w:val="24"/>
        </w:rPr>
        <w:t xml:space="preserve"> G-I: </w:t>
      </w:r>
      <w:r w:rsidRPr="00E877F3">
        <w:rPr>
          <w:rFonts w:ascii="Times" w:hAnsi="Times"/>
          <w:szCs w:val="24"/>
        </w:rPr>
        <w:br/>
        <w:t>G. gastrointestinal infections (APR-DRG 248), hematologic disease (APR-DRG 660), and bone marrow transplant(APR-DRG 3)</w:t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drawing>
          <wp:inline distT="0" distB="0" distL="0" distR="0" wp14:anchorId="739B15F0" wp14:editId="1FA57BEB">
            <wp:extent cx="7016060" cy="156914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955" cy="158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drawing>
          <wp:inline distT="0" distB="0" distL="0" distR="0" wp14:anchorId="2A8FB738" wp14:editId="6674B8CE">
            <wp:extent cx="6999605" cy="156546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488" cy="159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drawing>
          <wp:inline distT="0" distB="0" distL="0" distR="0" wp14:anchorId="26E2B265" wp14:editId="61E29452">
            <wp:extent cx="7002394" cy="1566851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83" cy="158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drawing>
          <wp:inline distT="0" distB="0" distL="0" distR="0" wp14:anchorId="4C610081" wp14:editId="405D3239">
            <wp:extent cx="6991875" cy="15637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266" cy="158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9AFC" wp14:editId="45B28D10">
                <wp:simplePos x="0" y="0"/>
                <wp:positionH relativeFrom="column">
                  <wp:posOffset>2679424</wp:posOffset>
                </wp:positionH>
                <wp:positionV relativeFrom="paragraph">
                  <wp:posOffset>5080</wp:posOffset>
                </wp:positionV>
                <wp:extent cx="1714500" cy="227330"/>
                <wp:effectExtent l="0" t="0" r="0" b="1270"/>
                <wp:wrapThrough wrapText="bothSides">
                  <wp:wrapPolygon edited="0">
                    <wp:start x="320" y="0"/>
                    <wp:lineTo x="320" y="19307"/>
                    <wp:lineTo x="20800" y="19307"/>
                    <wp:lineTo x="20800" y="0"/>
                    <wp:lineTo x="32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2A4" w:rsidRPr="0071271D" w:rsidRDefault="002352A4" w:rsidP="002352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27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Quarter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C9AFC" id="Rectangle 16" o:spid="_x0000_s1026" style="position:absolute;margin-left:211pt;margin-top:.4pt;width:135pt;height:1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nKigIAAGkFAAAOAAAAZHJzL2Uyb0RvYy54bWysVEtv2zAMvg/YfxB0Xx2n6WNBnSJo0WFA&#10;0QZth54VWYoNyKJGKbGzXz9KdtyuLXYYdrElPj6Sn0heXHaNYTuFvgZb8PxowpmyEsrabgr+4+nm&#10;yzlnPghbCgNWFXyvPL9cfP500bq5mkIFplTICMT6eesKXoXg5lnmZaUa4Y/AKUtKDdiIQFfcZCWK&#10;ltAbk00nk9OsBSwdglTek/S6V/JFwtdayXCvtVeBmYJTbiF9MX3X8ZstLsR8g8JVtRzSEP+QRSNq&#10;S0FHqGsRBNti/Q6qqSWCBx2OJDQZaF1LlWqgavLJm2oeK+FUqoXI8W6kyf8/WHm3WyGrS3q7U86s&#10;aOiNHog1YTdGMZIRQa3zc7J7dCscbp6OsdpOYxP/VAfrEqn7kVTVBSZJmJ/ls5MJcS9JN52eHR8n&#10;1rMXb4c+fFPQsHgoOFL4xKXY3fpAEcn0YBKDWbipjUkPZ+wfAjKMkiwm3KeYTmFvVLQz9kFpqpWS&#10;mqYAqcvUlUG2E9QfQkplQ96rKlGqXkzJU/p9HqNHyioBRmRNCY3YA0Ds4PfYPcxgH11VatLRefK3&#10;xHrn0SNFBhtG56a2gB8BGKpqiNzbH0jqqYkshW7dkUk8rqHcU1Mg9NPinbyp6WVuhQ8rgTQe9Jg0&#10;8uGePtpAW3AYTpxVgL8+kkd76lrSctbSuBXc/9wKVJyZ75b6+Ws+m8X5TJfZydmULvhas36tsdvm&#10;CujFclouTqZjtA/mcNQIzTNthmWMSiphJcUuuAx4uFyFfg3QbpFquUxmNJNOhFv76GQEjwTHznvq&#10;ngW6oT0DNfYdHEZTzN90aW8bPS0stwF0nVr4hdeBeprn1EPD7okL4/U9Wb1syMVvAAAA//8DAFBL&#10;AwQUAAYACAAAACEAiFwqrdsAAAAHAQAADwAAAGRycy9kb3ducmV2LnhtbEyPzU7DMBCE70i8g7VI&#10;3KhDQFFJ41SAhBDqAVHo3bG3SUS8jmLnp2/P9kSPoxnNfFNsF9eJCYfQelJwv0pAIBlvW6oV/Hy/&#10;3a1BhKjJ6s4TKjhhgG15fVXo3PqZvnDax1pwCYVcK2hi7HMpg2nQ6bDyPRJ7Rz84HVkOtbSDnrnc&#10;dTJNkkw63RIvNLrH1wbN7350Cg7++DI7U9HHdPpsx/fdYMx6p9TtzfK8ARFxif9hOOMzOpTMVPmR&#10;bBCdgsc05S9RAR9gO3s6y0rBQ5aBLAt5yV/+AQAA//8DAFBLAQItABQABgAIAAAAIQC2gziS/gAA&#10;AOEBAAATAAAAAAAAAAAAAAAAAAAAAABbQ29udGVudF9UeXBlc10ueG1sUEsBAi0AFAAGAAgAAAAh&#10;ADj9If/WAAAAlAEAAAsAAAAAAAAAAAAAAAAALwEAAF9yZWxzLy5yZWxzUEsBAi0AFAAGAAgAAAAh&#10;AEyMucqKAgAAaQUAAA4AAAAAAAAAAAAAAAAALgIAAGRycy9lMm9Eb2MueG1sUEsBAi0AFAAGAAgA&#10;AAAhAIhcKq3bAAAABwEAAA8AAAAAAAAAAAAAAAAA5AQAAGRycy9kb3ducmV2LnhtbFBLBQYAAAAA&#10;BAAEAPMAAADsBQAAAAA=&#10;" filled="f" stroked="f" strokeweight="1pt">
                <v:textbox>
                  <w:txbxContent>
                    <w:p w:rsidR="002352A4" w:rsidRPr="0071271D" w:rsidRDefault="002352A4" w:rsidP="002352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7127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Quarter Number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lastRenderedPageBreak/>
        <w:drawing>
          <wp:inline distT="0" distB="0" distL="0" distR="0" wp14:anchorId="6DDA7EA5" wp14:editId="723965FE">
            <wp:extent cx="7044956" cy="1576374"/>
            <wp:effectExtent l="0" t="0" r="381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844" cy="159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drawing>
          <wp:inline distT="0" distB="0" distL="0" distR="0" wp14:anchorId="1F0AAA66" wp14:editId="7737DEE5">
            <wp:extent cx="7026248" cy="1572188"/>
            <wp:effectExtent l="0" t="0" r="381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443" cy="158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drawing>
          <wp:inline distT="0" distB="0" distL="0" distR="0" wp14:anchorId="356F0136" wp14:editId="7E8E3E91">
            <wp:extent cx="7026248" cy="1572188"/>
            <wp:effectExtent l="0" t="0" r="381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30" cy="158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</w:pPr>
      <w:r w:rsidRPr="00C616D1">
        <w:rPr>
          <w:rFonts w:ascii="Times" w:hAnsi="Times"/>
          <w:b/>
          <w:noProof/>
          <w:szCs w:val="24"/>
        </w:rPr>
        <w:drawing>
          <wp:inline distT="0" distB="0" distL="0" distR="0" wp14:anchorId="32034B98" wp14:editId="4377D711">
            <wp:extent cx="7016060" cy="156914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923" cy="1584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jc w:val="left"/>
        <w:rPr>
          <w:rFonts w:ascii="Times" w:hAnsi="Times"/>
          <w:b/>
          <w:szCs w:val="24"/>
        </w:rPr>
        <w:sectPr w:rsidR="002352A4" w:rsidRPr="00E877F3" w:rsidSect="00F33FF1">
          <w:pgSz w:w="12240" w:h="15840"/>
          <w:pgMar w:top="576" w:right="720" w:bottom="288" w:left="720" w:header="720" w:footer="720" w:gutter="0"/>
          <w:cols w:space="720"/>
          <w:docGrid w:linePitch="360"/>
        </w:sectPr>
      </w:pPr>
      <w:r w:rsidRPr="00C616D1">
        <w:rPr>
          <w:rFonts w:ascii="Times" w:hAnsi="Times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80A3" wp14:editId="148DE8C6">
                <wp:simplePos x="0" y="0"/>
                <wp:positionH relativeFrom="column">
                  <wp:posOffset>2639833</wp:posOffset>
                </wp:positionH>
                <wp:positionV relativeFrom="paragraph">
                  <wp:posOffset>1613397</wp:posOffset>
                </wp:positionV>
                <wp:extent cx="1841500" cy="274320"/>
                <wp:effectExtent l="0" t="0" r="12700" b="5080"/>
                <wp:wrapThrough wrapText="bothSides">
                  <wp:wrapPolygon edited="0">
                    <wp:start x="0" y="0"/>
                    <wp:lineTo x="0" y="20000"/>
                    <wp:lineTo x="21451" y="20000"/>
                    <wp:lineTo x="21451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52A4" w:rsidRPr="00AE1954" w:rsidRDefault="002352A4" w:rsidP="002352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E19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Quarter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280A3" id="Rectangle 17" o:spid="_x0000_s1027" style="position:absolute;margin-left:207.85pt;margin-top:127.05pt;width:145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5teAIAAOwEAAAOAAAAZHJzL2Uyb0RvYy54bWysVMtuGjEU3VfqP1jeNwOUlBQxRCgRVaUo&#10;QU2qrI3Hw1jyq7Zhhn59jz0DSdOuqs7C3Jfv4/hcFtedVuQgfJDWlHR8MaJEGG4raXYl/f60/nBF&#10;SYjMVExZI0p6FIFeL9+/W7RuLia2saoSniCJCfPWlbSJ0c2LIvBGaBYurBMGztp6zSJUvysqz1pk&#10;16qYjEafitb6ynnLRQiw3vZOusz561rw+FDXQUSiSoreYj59PrfpLJYLNt955hrJhzbYP3ShmTQo&#10;ek51yyIjey//SKUl9zbYOl5wqwtb15KLPAOmGY/eTPPYMCfyLAAnuDNM4f+l5feHjSeywtvNKDFM&#10;442+ATVmdkoQ2ABQ68IccY9u4wctQEzTdrXX6RdzkC6DejyDKrpIOIzjq+n4cgTsOXyT2fTjJKNe&#10;vNx2PsQvwmqShJJ6lM9YssNdiKiI0FNIKhasktVaKpWVY7hRnhwY3he0qGxLiWIhwljSdf7SCEjx&#10;2zVlSIvWJrPcGAPxasUietQOUASzo4SpHRjNo8+9GJsqIlPfyy0LTV80p+1ppGUEl5XUJb0apW+o&#10;rEy6JjIbh4kSpD2ISYrdtuvfIN1Ilq2tjngXb3vCBsfXEuDcYbIN82Ao8MTWxQcctbKYxQ4SJY31&#10;P/9mT/EgDryUtGA85vyxZ14AsK8GlPo8nk7TimRlejnDOxH/2rN97TF7fWMB+hj77XgWU3xUJ7H2&#10;Vj9jOVepKlzMcNTuER2Um9hvItabi9Uqh2EtHIt35tHxlPwE+FP3zLwbGBLBrXt72g42f0OUPjbd&#10;NHa1j7aWmUUvuIIPScFKZWYM65929rWeo17+pJa/AAAA//8DAFBLAwQUAAYACAAAACEAvWX8VOEA&#10;AAALAQAADwAAAGRycy9kb3ducmV2LnhtbEyPTU+DQBCG7yb+h82YeDHtQm0LIktjbLTRS2PVxOOU&#10;HYHI7iK7tPjvnZ70OO88eT/y1WhacaDeN84qiKcRCLKl042tFLy9PkxSED6g1dg6Swp+yMOqOD/L&#10;MdPuaF/osAuVYBPrM1RQh9BlUvqyJoN+6jqy/Pt0vcHAZ19J3eORzU0rZ1G0lAYbywk1dnRfU/m1&#10;GwyHpNt1t1k/pY/b504P71ff9JGiUpcX490tiEBj+IPhVJ+rQ8Gd9m6w2otWwTxeJIwqmC3mMQgm&#10;kuik7Fm5Sa5BFrn8v6H4BQAA//8DAFBLAQItABQABgAIAAAAIQC2gziS/gAAAOEBAAATAAAAAAAA&#10;AAAAAAAAAAAAAABbQ29udGVudF9UeXBlc10ueG1sUEsBAi0AFAAGAAgAAAAhADj9If/WAAAAlAEA&#10;AAsAAAAAAAAAAAAAAAAALwEAAF9yZWxzLy5yZWxzUEsBAi0AFAAGAAgAAAAhAL3lnm14AgAA7AQA&#10;AA4AAAAAAAAAAAAAAAAALgIAAGRycy9lMm9Eb2MueG1sUEsBAi0AFAAGAAgAAAAhAL1l/FThAAAA&#10;CwEAAA8AAAAAAAAAAAAAAAAA0gQAAGRycy9kb3ducmV2LnhtbFBLBQYAAAAABAAEAPMAAADgBQAA&#10;AAA=&#10;" fillcolor="window" stroked="f" strokeweight="1pt">
                <v:textbox>
                  <w:txbxContent>
                    <w:p w:rsidR="002352A4" w:rsidRPr="00AE1954" w:rsidRDefault="002352A4" w:rsidP="002352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E1954">
                        <w:rPr>
                          <w:rFonts w:ascii="Arial" w:hAnsi="Arial" w:cs="Arial"/>
                          <w:b/>
                          <w:bCs/>
                        </w:rPr>
                        <w:t>Quarter Number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679D1">
        <w:rPr>
          <w:rFonts w:ascii="Times" w:hAnsi="Times"/>
          <w:b/>
          <w:noProof/>
          <w:szCs w:val="24"/>
        </w:rPr>
        <w:drawing>
          <wp:inline distT="0" distB="0" distL="0" distR="0" wp14:anchorId="2327BB90" wp14:editId="46534FAA">
            <wp:extent cx="7005099" cy="1567456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27" cy="1593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A4" w:rsidRPr="00E877F3" w:rsidRDefault="002352A4" w:rsidP="002352A4">
      <w:pPr>
        <w:pStyle w:val="EndNoteBibliography"/>
        <w:spacing w:after="0"/>
        <w:ind w:left="720" w:hanging="720"/>
        <w:jc w:val="left"/>
        <w:rPr>
          <w:rFonts w:ascii="Times" w:hAnsi="Times"/>
          <w:b/>
          <w:szCs w:val="24"/>
        </w:rPr>
        <w:sectPr w:rsidR="002352A4" w:rsidRPr="00E877F3" w:rsidSect="00891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52A4" w:rsidRPr="00E877F3" w:rsidRDefault="002352A4" w:rsidP="002352A4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Appendix</w:t>
      </w:r>
      <w:r w:rsidRPr="00E877F3">
        <w:rPr>
          <w:rFonts w:ascii="Times" w:hAnsi="Times"/>
          <w:b/>
          <w:sz w:val="24"/>
          <w:szCs w:val="24"/>
        </w:rPr>
        <w:t xml:space="preserve"> Table 1: Hospital Characteristics (n = 66 hospitals)</w:t>
      </w:r>
    </w:p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</w:pP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3975"/>
        <w:gridCol w:w="3150"/>
      </w:tblGrid>
      <w:tr w:rsidR="002352A4" w:rsidRPr="00E877F3" w:rsidTr="00300540">
        <w:trPr>
          <w:trHeight w:val="255"/>
        </w:trPr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Number (%) 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Hospital size 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 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     &lt;100 beds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4 (6.1)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     100-299 beds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42 (63.6)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auto" w:fill="auto"/>
            <w:noWrap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     ≥300 beds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20 (30.3)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Freestanding Children’s Hospital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41 (62.1)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000000" w:fill="FFFFFF"/>
            <w:noWrap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Geographic Region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000000" w:fill="FFFFFF"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  Northeast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11 (16.7)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000000" w:fill="FFFFFF"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  South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27 (40.9)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000000" w:fill="FFFFFF"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  Midwest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16 (24.2)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shd w:val="clear" w:color="000000" w:fill="FFFFFF"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  West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12 (18.2)</w:t>
            </w:r>
          </w:p>
        </w:tc>
      </w:tr>
      <w:tr w:rsidR="002352A4" w:rsidRPr="00E877F3" w:rsidTr="00300540">
        <w:trPr>
          <w:trHeight w:val="255"/>
        </w:trPr>
        <w:tc>
          <w:tcPr>
            <w:tcW w:w="39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Magnet Nursing Designation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44 (66.7)</w:t>
            </w:r>
          </w:p>
        </w:tc>
      </w:tr>
    </w:tbl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</w:pPr>
    </w:p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</w:pPr>
    </w:p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</w:pPr>
    </w:p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</w:pPr>
      <w:r w:rsidRPr="00E877F3">
        <w:rPr>
          <w:rFonts w:ascii="Times" w:hAnsi="Times"/>
          <w:b/>
          <w:sz w:val="24"/>
          <w:szCs w:val="24"/>
        </w:rPr>
        <w:br w:type="page"/>
      </w:r>
    </w:p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  <w:sectPr w:rsidR="002352A4" w:rsidRPr="00E877F3" w:rsidSect="00AE19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 xml:space="preserve">Appendix </w:t>
      </w:r>
      <w:r w:rsidRPr="00E877F3">
        <w:rPr>
          <w:rFonts w:ascii="Times" w:hAnsi="Times"/>
          <w:b/>
          <w:sz w:val="24"/>
          <w:szCs w:val="24"/>
        </w:rPr>
        <w:t xml:space="preserve">Table 2: Patient Characteristics for Cohort by Year </w:t>
      </w:r>
    </w:p>
    <w:p w:rsidR="002352A4" w:rsidRPr="00E877F3" w:rsidRDefault="002352A4" w:rsidP="002352A4">
      <w:pPr>
        <w:jc w:val="left"/>
        <w:rPr>
          <w:rFonts w:ascii="Times" w:hAnsi="Times"/>
          <w:b/>
          <w:sz w:val="24"/>
          <w:szCs w:val="24"/>
        </w:rPr>
      </w:pP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1900"/>
        <w:gridCol w:w="1039"/>
        <w:gridCol w:w="1039"/>
        <w:gridCol w:w="1039"/>
        <w:gridCol w:w="1040"/>
        <w:gridCol w:w="1039"/>
        <w:gridCol w:w="1039"/>
        <w:gridCol w:w="1040"/>
        <w:gridCol w:w="1350"/>
      </w:tblGrid>
      <w:tr w:rsidR="002352A4" w:rsidRPr="00E877F3" w:rsidTr="00300540">
        <w:trPr>
          <w:trHeight w:hRule="exact" w:val="10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>2016*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E877F3">
              <w:rPr>
                <w:rFonts w:ascii="Times" w:eastAsia="Times New Roman" w:hAnsi="Times"/>
                <w:b/>
                <w:bCs/>
                <w:color w:val="000000"/>
                <w:sz w:val="24"/>
                <w:szCs w:val="24"/>
              </w:rPr>
              <w:t xml:space="preserve"> value for change over time</w:t>
            </w:r>
          </w:p>
        </w:tc>
      </w:tr>
      <w:tr w:rsidR="002352A4" w:rsidRPr="00E877F3" w:rsidTr="00300540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Hospital Admissions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679,648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688,708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693,237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694,993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698,650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705,604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357,406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0.99</w:t>
            </w:r>
          </w:p>
        </w:tc>
      </w:tr>
      <w:tr w:rsidR="002352A4" w:rsidRPr="00E877F3" w:rsidTr="00300540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% Neonate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0.47</w:t>
            </w:r>
          </w:p>
        </w:tc>
      </w:tr>
      <w:tr w:rsidR="002352A4" w:rsidRPr="00E877F3" w:rsidTr="00300540">
        <w:trPr>
          <w:trHeight w:val="34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Race/Ethnicity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</w:p>
        </w:tc>
      </w:tr>
      <w:tr w:rsidR="002352A4" w:rsidRPr="00E877F3" w:rsidTr="00300540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0.95</w:t>
            </w:r>
          </w:p>
        </w:tc>
      </w:tr>
      <w:tr w:rsidR="002352A4" w:rsidRPr="00E877F3" w:rsidTr="00300540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0.99</w:t>
            </w:r>
          </w:p>
        </w:tc>
      </w:tr>
      <w:tr w:rsidR="002352A4" w:rsidRPr="00E877F3" w:rsidTr="00300540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0.99</w:t>
            </w:r>
          </w:p>
        </w:tc>
      </w:tr>
      <w:tr w:rsidR="002352A4" w:rsidRPr="00E877F3" w:rsidTr="00300540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0.54</w:t>
            </w:r>
          </w:p>
        </w:tc>
      </w:tr>
      <w:tr w:rsidR="002352A4" w:rsidRPr="00E877F3" w:rsidTr="00300540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% Medicaid Insurance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0.79</w:t>
            </w:r>
          </w:p>
        </w:tc>
      </w:tr>
      <w:tr w:rsidR="002352A4" w:rsidRPr="00E877F3" w:rsidTr="00300540">
        <w:trPr>
          <w:trHeight w:val="29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2A4" w:rsidRPr="00E877F3" w:rsidRDefault="002352A4" w:rsidP="00300540">
            <w:pPr>
              <w:jc w:val="left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eastAsia="Times New Roman" w:hAnsi="Times"/>
                <w:color w:val="000000"/>
                <w:sz w:val="24"/>
                <w:szCs w:val="24"/>
              </w:rPr>
              <w:t>Average Case Mix Index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center"/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4" w:rsidRPr="00E877F3" w:rsidRDefault="002352A4" w:rsidP="00300540">
            <w:pPr>
              <w:jc w:val="left"/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E877F3">
              <w:rPr>
                <w:rFonts w:ascii="Times" w:hAnsi="Times" w:cs="Arial"/>
                <w:color w:val="000000"/>
                <w:sz w:val="24"/>
                <w:szCs w:val="24"/>
              </w:rPr>
              <w:t>0.04</w:t>
            </w:r>
          </w:p>
        </w:tc>
      </w:tr>
    </w:tbl>
    <w:p w:rsidR="002352A4" w:rsidRPr="00E877F3" w:rsidRDefault="002352A4" w:rsidP="002352A4">
      <w:pPr>
        <w:pStyle w:val="EndNoteBibliography"/>
        <w:spacing w:after="0"/>
        <w:ind w:left="720" w:hanging="720"/>
        <w:jc w:val="left"/>
        <w:rPr>
          <w:rFonts w:ascii="Times" w:hAnsi="Times"/>
          <w:szCs w:val="24"/>
        </w:rPr>
      </w:pPr>
      <w:r w:rsidRPr="00E877F3">
        <w:rPr>
          <w:rFonts w:ascii="Times" w:hAnsi="Times"/>
          <w:szCs w:val="24"/>
        </w:rPr>
        <w:t xml:space="preserve">*First </w:t>
      </w:r>
      <w:r>
        <w:rPr>
          <w:rFonts w:ascii="Times" w:hAnsi="Times"/>
          <w:szCs w:val="24"/>
        </w:rPr>
        <w:t>two</w:t>
      </w:r>
      <w:r w:rsidRPr="00E877F3">
        <w:rPr>
          <w:rFonts w:ascii="Times" w:hAnsi="Times"/>
          <w:szCs w:val="24"/>
        </w:rPr>
        <w:t xml:space="preserve"> quarters</w:t>
      </w:r>
    </w:p>
    <w:p w:rsidR="002352A4" w:rsidRPr="00E877F3" w:rsidRDefault="002352A4" w:rsidP="002352A4">
      <w:pPr>
        <w:rPr>
          <w:rFonts w:ascii="Times" w:hAnsi="Times"/>
          <w:sz w:val="24"/>
          <w:szCs w:val="24"/>
        </w:rPr>
      </w:pPr>
      <w:r w:rsidRPr="00E877F3">
        <w:rPr>
          <w:rFonts w:ascii="Times" w:hAnsi="Times"/>
          <w:sz w:val="24"/>
          <w:szCs w:val="24"/>
        </w:rPr>
        <w:br w:type="page"/>
      </w:r>
    </w:p>
    <w:p w:rsidR="007033B0" w:rsidRDefault="007033B0">
      <w:bookmarkStart w:id="0" w:name="_GoBack"/>
      <w:bookmarkEnd w:id="0"/>
    </w:p>
    <w:sectPr w:rsidR="0070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4"/>
    <w:rsid w:val="002352A4"/>
    <w:rsid w:val="007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75B3E-0D85-4081-A070-3EB572F2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A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2352A4"/>
    <w:pPr>
      <w:spacing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Hite</dc:creator>
  <cp:keywords/>
  <dc:description/>
  <cp:lastModifiedBy>Susan Hite</cp:lastModifiedBy>
  <cp:revision>1</cp:revision>
  <dcterms:created xsi:type="dcterms:W3CDTF">2019-03-27T22:42:00Z</dcterms:created>
  <dcterms:modified xsi:type="dcterms:W3CDTF">2019-03-27T22:44:00Z</dcterms:modified>
</cp:coreProperties>
</file>