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8E" w:rsidRPr="0040128E" w:rsidRDefault="0040128E" w:rsidP="0040128E">
      <w:pPr>
        <w:widowControl w:val="0"/>
        <w:spacing w:after="200" w:line="283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0128E">
        <w:rPr>
          <w:rFonts w:ascii="Times New Roman" w:eastAsia="Calibri" w:hAnsi="Times New Roman" w:cs="Times New Roman"/>
          <w:b/>
          <w:sz w:val="24"/>
          <w:szCs w:val="24"/>
        </w:rPr>
        <w:t>Appendix Figure 2: Uptake of Post-discharge appointment service Tool by Day of Admission, Broken Down by Day of Week</w:t>
      </w:r>
    </w:p>
    <w:bookmarkEnd w:id="0"/>
    <w:p w:rsidR="0040128E" w:rsidRDefault="0040128E" w:rsidP="0040128E">
      <w:pPr>
        <w:widowControl w:val="0"/>
        <w:spacing w:after="200" w:line="283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5A0C6E07" wp14:editId="29E5F616">
            <wp:extent cx="4770120" cy="3294380"/>
            <wp:effectExtent l="0" t="0" r="0" b="1270"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519" cy="3294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BB9" w:rsidRPr="002F34FE" w:rsidRDefault="00651BB9" w:rsidP="002F34FE"/>
    <w:sectPr w:rsidR="00651BB9" w:rsidRPr="002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6"/>
    <w:rsid w:val="000E1E95"/>
    <w:rsid w:val="002F34FE"/>
    <w:rsid w:val="0040128E"/>
    <w:rsid w:val="00651BB9"/>
    <w:rsid w:val="007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25D"/>
  <w15:chartTrackingRefBased/>
  <w15:docId w15:val="{6F8F2B03-6FE6-419C-9E27-C693156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4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7C0346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4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F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Marcondes, Felippe O.</dc:creator>
  <cp:keywords/>
  <dc:description/>
  <cp:lastModifiedBy>Marcondes, Felippe O.</cp:lastModifiedBy>
  <cp:revision>2</cp:revision>
  <dcterms:created xsi:type="dcterms:W3CDTF">2019-07-29T20:56:00Z</dcterms:created>
  <dcterms:modified xsi:type="dcterms:W3CDTF">2019-07-29T20:56:00Z</dcterms:modified>
</cp:coreProperties>
</file>