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B4A3" w14:textId="41C3705B" w:rsidR="00B95302" w:rsidRPr="00B95302" w:rsidRDefault="00B95302" w:rsidP="00B95302">
      <w:pPr>
        <w:spacing w:after="0" w:line="480" w:lineRule="auto"/>
        <w:jc w:val="center"/>
        <w:rPr>
          <w:rFonts w:ascii="Arial" w:hAnsi="Arial" w:cs="Arial"/>
          <w:b/>
          <w:sz w:val="36"/>
          <w:szCs w:val="28"/>
          <w:u w:val="single"/>
        </w:rPr>
      </w:pPr>
      <w:bookmarkStart w:id="0" w:name="_GoBack"/>
      <w:bookmarkEnd w:id="0"/>
      <w:r w:rsidRPr="00B95302">
        <w:rPr>
          <w:rFonts w:ascii="Arial" w:hAnsi="Arial" w:cs="Arial"/>
          <w:b/>
          <w:sz w:val="36"/>
          <w:szCs w:val="28"/>
          <w:u w:val="single"/>
        </w:rPr>
        <w:t>Supplemental Material:</w:t>
      </w:r>
    </w:p>
    <w:p w14:paraId="15C8A335" w14:textId="0EFBA5BA" w:rsidR="006971B7" w:rsidRDefault="006971B7" w:rsidP="00B95302">
      <w:pPr>
        <w:jc w:val="center"/>
        <w:rPr>
          <w:rFonts w:ascii="Arial" w:hAnsi="Arial" w:cs="Arial"/>
          <w:sz w:val="28"/>
          <w:szCs w:val="28"/>
        </w:rPr>
      </w:pPr>
      <w:r w:rsidRPr="006971B7">
        <w:rPr>
          <w:rFonts w:ascii="Arial" w:hAnsi="Arial" w:cs="Arial"/>
          <w:sz w:val="28"/>
          <w:szCs w:val="28"/>
        </w:rPr>
        <w:t xml:space="preserve">Sepsis in Hospitals vs. Emergency Departments </w:t>
      </w:r>
    </w:p>
    <w:p w14:paraId="4D4C98A6" w14:textId="4D29F4C1" w:rsidR="00EB77F1" w:rsidRPr="00B95302" w:rsidRDefault="00B95302" w:rsidP="00B95302">
      <w:pPr>
        <w:jc w:val="center"/>
        <w:rPr>
          <w:rFonts w:ascii="Arial" w:hAnsi="Arial" w:cs="Arial"/>
        </w:rPr>
      </w:pPr>
      <w:r w:rsidRPr="00B95302">
        <w:rPr>
          <w:rFonts w:ascii="Arial" w:hAnsi="Arial" w:cs="Arial"/>
        </w:rPr>
        <w:t>Leisman et al.</w:t>
      </w:r>
    </w:p>
    <w:p w14:paraId="5B488888" w14:textId="5C55F147" w:rsidR="006971B7" w:rsidRDefault="006971B7">
      <w:pPr>
        <w:rPr>
          <w:rFonts w:ascii="Arial" w:hAnsi="Arial" w:cs="Arial"/>
        </w:rPr>
      </w:pPr>
      <w:r>
        <w:rPr>
          <w:rFonts w:ascii="Arial" w:hAnsi="Arial" w:cs="Arial"/>
        </w:rPr>
        <w:br w:type="page"/>
      </w:r>
    </w:p>
    <w:p w14:paraId="3157D261" w14:textId="3721806D" w:rsidR="006971B7" w:rsidRDefault="00264792">
      <w:r>
        <w:rPr>
          <w:noProof/>
        </w:rPr>
        <w:lastRenderedPageBreak/>
        <w:drawing>
          <wp:inline distT="0" distB="0" distL="0" distR="0" wp14:anchorId="7637AC23" wp14:editId="63E98EDE">
            <wp:extent cx="5943600" cy="5943600"/>
            <wp:effectExtent l="25400" t="25400" r="25400" b="25400"/>
            <wp:docPr id="1" name="Picture 1" descr="Macintosh HD:Users:leismd:Dropbox:Northwell:ED vs. Inpatient Sepsis:SepsisPOAvsNPOA:JHM:SFigure1_FrequencyDensit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smd:Dropbox:Northwell:ED vs. Inpatient Sepsis:SepsisPOAvsNPOA:JHM:SFigure1_FrequencyDensity.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solidFill>
                        <a:schemeClr val="tx1"/>
                      </a:solidFill>
                    </a:ln>
                  </pic:spPr>
                </pic:pic>
              </a:graphicData>
            </a:graphic>
          </wp:inline>
        </w:drawing>
      </w:r>
    </w:p>
    <w:p w14:paraId="6F6F2B33" w14:textId="77777777" w:rsidR="006971B7" w:rsidRPr="006971B7" w:rsidRDefault="006971B7" w:rsidP="006971B7">
      <w:pPr>
        <w:spacing w:after="0" w:line="240" w:lineRule="auto"/>
        <w:rPr>
          <w:u w:val="single"/>
        </w:rPr>
      </w:pPr>
      <w:r w:rsidRPr="006971B7">
        <w:rPr>
          <w:b/>
          <w:u w:val="single"/>
        </w:rPr>
        <w:t>Supplemental Figure 1:</w:t>
      </w:r>
    </w:p>
    <w:p w14:paraId="10F92634" w14:textId="5D4EA3E2" w:rsidR="00EB77F1" w:rsidRDefault="00264792">
      <w:r>
        <w:t>Shows the proportional and absolute frequency densities as a function of the calculated propensity score for HPS vs. EDPS, where a propensity-score of 1.0 corresponds to 100% probability of being an HPS patient</w:t>
      </w:r>
      <w:r w:rsidR="006971B7">
        <w:t>.</w:t>
      </w:r>
      <w:r>
        <w:t xml:space="preserve"> Frequency curves were generated by smoothing to </w:t>
      </w:r>
      <w:proofErr w:type="gramStart"/>
      <w:r>
        <w:t>2</w:t>
      </w:r>
      <w:proofErr w:type="gramEnd"/>
      <w:r>
        <w:t xml:space="preserve"> neighbors and using a 2</w:t>
      </w:r>
      <w:r w:rsidRPr="00264792">
        <w:rPr>
          <w:vertAlign w:val="superscript"/>
        </w:rPr>
        <w:t>nd</w:t>
      </w:r>
      <w:r>
        <w:t xml:space="preserve"> order polynomial function.</w:t>
      </w:r>
      <w:r w:rsidR="006971B7">
        <w:t xml:space="preserve"> </w:t>
      </w:r>
      <w:r w:rsidR="006971B7" w:rsidRPr="006971B7">
        <w:rPr>
          <w:u w:val="single"/>
        </w:rPr>
        <w:t>Abbreviations</w:t>
      </w:r>
      <w:r w:rsidR="006971B7">
        <w:t>: HPS – hospital presenting sepsis, EDPS – emergency d</w:t>
      </w:r>
      <w:r>
        <w:t>epartment presenting sepsis</w:t>
      </w:r>
      <w:r w:rsidR="006971B7">
        <w:t>.</w:t>
      </w:r>
      <w:r w:rsidR="00EB77F1">
        <w:br w:type="page"/>
      </w:r>
    </w:p>
    <w:tbl>
      <w:tblPr>
        <w:tblStyle w:val="TableGrid"/>
        <w:tblW w:w="0" w:type="auto"/>
        <w:tblLook w:val="04A0" w:firstRow="1" w:lastRow="0" w:firstColumn="1" w:lastColumn="0" w:noHBand="0" w:noVBand="1"/>
      </w:tblPr>
      <w:tblGrid>
        <w:gridCol w:w="2969"/>
        <w:gridCol w:w="7821"/>
      </w:tblGrid>
      <w:tr w:rsidR="00EB77F1" w14:paraId="47988C67" w14:textId="77777777" w:rsidTr="00044657">
        <w:trPr>
          <w:trHeight w:val="341"/>
        </w:trPr>
        <w:tc>
          <w:tcPr>
            <w:tcW w:w="10908" w:type="dxa"/>
            <w:gridSpan w:val="2"/>
            <w:tcBorders>
              <w:top w:val="single" w:sz="4" w:space="0" w:color="auto"/>
              <w:left w:val="single" w:sz="4" w:space="0" w:color="auto"/>
              <w:bottom w:val="single" w:sz="4" w:space="0" w:color="auto"/>
              <w:right w:val="single" w:sz="4" w:space="0" w:color="auto"/>
            </w:tcBorders>
            <w:hideMark/>
          </w:tcPr>
          <w:p w14:paraId="32462224" w14:textId="77777777" w:rsidR="00EB77F1" w:rsidRPr="000313AA" w:rsidRDefault="00EB77F1" w:rsidP="00044657">
            <w:pPr>
              <w:rPr>
                <w:rFonts w:ascii="Arial" w:hAnsi="Arial" w:cs="Arial"/>
                <w:sz w:val="28"/>
              </w:rPr>
            </w:pPr>
            <w:r>
              <w:rPr>
                <w:rFonts w:ascii="Arial" w:hAnsi="Arial" w:cs="Arial"/>
                <w:b/>
                <w:sz w:val="28"/>
              </w:rPr>
              <w:lastRenderedPageBreak/>
              <w:t>Supplemental Table 1:</w:t>
            </w:r>
            <w:r w:rsidRPr="000313AA">
              <w:rPr>
                <w:rFonts w:ascii="Arial" w:hAnsi="Arial" w:cs="Arial"/>
                <w:b/>
                <w:sz w:val="28"/>
              </w:rPr>
              <w:t xml:space="preserve"> Organ Dysfunction Criteria for Study Inclusion</w:t>
            </w:r>
          </w:p>
        </w:tc>
      </w:tr>
      <w:tr w:rsidR="00EB77F1" w14:paraId="5A887E54" w14:textId="77777777" w:rsidTr="00044657">
        <w:tc>
          <w:tcPr>
            <w:tcW w:w="2988" w:type="dxa"/>
            <w:tcBorders>
              <w:top w:val="single" w:sz="4" w:space="0" w:color="auto"/>
              <w:left w:val="single" w:sz="4" w:space="0" w:color="auto"/>
              <w:bottom w:val="nil"/>
              <w:right w:val="nil"/>
            </w:tcBorders>
            <w:hideMark/>
          </w:tcPr>
          <w:p w14:paraId="424F36A4" w14:textId="77777777" w:rsidR="00EB77F1" w:rsidRPr="000313AA" w:rsidRDefault="00EB77F1" w:rsidP="00044657">
            <w:pPr>
              <w:rPr>
                <w:rFonts w:ascii="Arial" w:hAnsi="Arial" w:cs="Arial"/>
                <w:b/>
                <w:sz w:val="20"/>
              </w:rPr>
            </w:pPr>
            <w:r w:rsidRPr="000313AA">
              <w:rPr>
                <w:rFonts w:ascii="Arial" w:hAnsi="Arial" w:cs="Arial"/>
                <w:b/>
                <w:sz w:val="20"/>
              </w:rPr>
              <w:t xml:space="preserve">Organ Dysfunction Criteria </w:t>
            </w:r>
            <w:r w:rsidRPr="000313AA">
              <w:rPr>
                <w:rFonts w:ascii="Arial" w:hAnsi="Arial" w:cs="Arial"/>
                <w:sz w:val="20"/>
                <w:vertAlign w:val="superscript"/>
              </w:rPr>
              <w:t>a</w:t>
            </w:r>
          </w:p>
        </w:tc>
        <w:tc>
          <w:tcPr>
            <w:tcW w:w="7920" w:type="dxa"/>
            <w:tcBorders>
              <w:top w:val="single" w:sz="4" w:space="0" w:color="auto"/>
              <w:left w:val="nil"/>
              <w:bottom w:val="nil"/>
              <w:right w:val="single" w:sz="4" w:space="0" w:color="auto"/>
            </w:tcBorders>
            <w:hideMark/>
          </w:tcPr>
          <w:p w14:paraId="73F008A4" w14:textId="77777777" w:rsidR="00EB77F1" w:rsidRPr="000313AA" w:rsidRDefault="00EB77F1" w:rsidP="00044657">
            <w:pPr>
              <w:rPr>
                <w:rFonts w:ascii="Arial" w:hAnsi="Arial" w:cs="Arial"/>
                <w:b/>
                <w:sz w:val="20"/>
              </w:rPr>
            </w:pPr>
            <w:r w:rsidRPr="000313AA">
              <w:rPr>
                <w:rFonts w:ascii="Arial" w:hAnsi="Arial" w:cs="Arial"/>
                <w:b/>
                <w:sz w:val="20"/>
              </w:rPr>
              <w:t>Definition</w:t>
            </w:r>
          </w:p>
        </w:tc>
      </w:tr>
      <w:tr w:rsidR="00EB77F1" w14:paraId="7FCCF74A" w14:textId="77777777" w:rsidTr="00044657">
        <w:trPr>
          <w:trHeight w:val="324"/>
        </w:trPr>
        <w:tc>
          <w:tcPr>
            <w:tcW w:w="2988" w:type="dxa"/>
            <w:tcBorders>
              <w:top w:val="nil"/>
              <w:left w:val="single" w:sz="4" w:space="0" w:color="auto"/>
              <w:bottom w:val="nil"/>
              <w:right w:val="nil"/>
            </w:tcBorders>
            <w:hideMark/>
          </w:tcPr>
          <w:p w14:paraId="41633502" w14:textId="77777777" w:rsidR="00EB77F1" w:rsidRPr="0079070F" w:rsidRDefault="00EB77F1" w:rsidP="00044657">
            <w:pPr>
              <w:rPr>
                <w:rFonts w:ascii="Arial" w:hAnsi="Arial" w:cs="Arial"/>
                <w:sz w:val="20"/>
                <w:szCs w:val="20"/>
              </w:rPr>
            </w:pPr>
            <w:r>
              <w:rPr>
                <w:rFonts w:ascii="Arial" w:hAnsi="Arial" w:cs="Arial"/>
                <w:sz w:val="20"/>
                <w:szCs w:val="20"/>
              </w:rPr>
              <w:t>1. Elevated Lactate</w:t>
            </w:r>
          </w:p>
        </w:tc>
        <w:tc>
          <w:tcPr>
            <w:tcW w:w="7920" w:type="dxa"/>
            <w:tcBorders>
              <w:top w:val="nil"/>
              <w:left w:val="nil"/>
              <w:bottom w:val="nil"/>
              <w:right w:val="single" w:sz="4" w:space="0" w:color="auto"/>
            </w:tcBorders>
            <w:hideMark/>
          </w:tcPr>
          <w:p w14:paraId="15F55510" w14:textId="77777777" w:rsidR="00EB77F1" w:rsidRPr="0079070F" w:rsidRDefault="00EB77F1" w:rsidP="00044657">
            <w:pPr>
              <w:rPr>
                <w:rFonts w:ascii="Arial" w:hAnsi="Arial" w:cs="Arial"/>
                <w:sz w:val="20"/>
                <w:szCs w:val="20"/>
              </w:rPr>
            </w:pPr>
            <w:r w:rsidRPr="0079070F">
              <w:rPr>
                <w:rFonts w:ascii="Arial" w:hAnsi="Arial" w:cs="Arial"/>
                <w:sz w:val="20"/>
                <w:szCs w:val="20"/>
              </w:rPr>
              <w:t xml:space="preserve">Serum lactate </w:t>
            </w:r>
            <w:r>
              <w:rPr>
                <w:rFonts w:ascii="Arial" w:hAnsi="Arial" w:cs="Arial"/>
                <w:sz w:val="20"/>
                <w:szCs w:val="20"/>
              </w:rPr>
              <w:t>&gt;</w:t>
            </w:r>
            <w:r w:rsidRPr="0079070F">
              <w:rPr>
                <w:rFonts w:ascii="Arial" w:hAnsi="Arial" w:cs="Arial"/>
                <w:sz w:val="20"/>
                <w:szCs w:val="20"/>
              </w:rPr>
              <w:t>2.</w:t>
            </w:r>
            <w:r>
              <w:rPr>
                <w:rFonts w:ascii="Arial" w:hAnsi="Arial" w:cs="Arial"/>
                <w:sz w:val="20"/>
                <w:szCs w:val="20"/>
              </w:rPr>
              <w:t>1</w:t>
            </w:r>
            <w:r w:rsidRPr="0079070F">
              <w:rPr>
                <w:rFonts w:ascii="Arial" w:hAnsi="Arial" w:cs="Arial"/>
                <w:sz w:val="20"/>
                <w:szCs w:val="20"/>
              </w:rPr>
              <w:t xml:space="preserve"> </w:t>
            </w:r>
            <w:proofErr w:type="spellStart"/>
            <w:r w:rsidRPr="0079070F">
              <w:rPr>
                <w:rFonts w:ascii="Arial" w:hAnsi="Arial" w:cs="Arial"/>
                <w:sz w:val="20"/>
                <w:szCs w:val="20"/>
              </w:rPr>
              <w:t>mmol</w:t>
            </w:r>
            <w:proofErr w:type="spellEnd"/>
            <w:r w:rsidRPr="0079070F">
              <w:rPr>
                <w:rFonts w:ascii="Arial" w:hAnsi="Arial" w:cs="Arial"/>
                <w:sz w:val="20"/>
                <w:szCs w:val="20"/>
              </w:rPr>
              <w:t>/L</w:t>
            </w:r>
          </w:p>
        </w:tc>
      </w:tr>
      <w:tr w:rsidR="00EB77F1" w14:paraId="37CF26C0" w14:textId="77777777" w:rsidTr="00044657">
        <w:trPr>
          <w:trHeight w:val="360"/>
        </w:trPr>
        <w:tc>
          <w:tcPr>
            <w:tcW w:w="2988" w:type="dxa"/>
            <w:tcBorders>
              <w:top w:val="nil"/>
              <w:left w:val="single" w:sz="4" w:space="0" w:color="auto"/>
              <w:bottom w:val="nil"/>
              <w:right w:val="nil"/>
            </w:tcBorders>
            <w:hideMark/>
          </w:tcPr>
          <w:p w14:paraId="7537BFBA" w14:textId="77777777" w:rsidR="00EB77F1" w:rsidRPr="0079070F" w:rsidRDefault="00EB77F1" w:rsidP="00044657">
            <w:pPr>
              <w:rPr>
                <w:rFonts w:ascii="Arial" w:hAnsi="Arial" w:cs="Arial"/>
                <w:sz w:val="20"/>
                <w:szCs w:val="20"/>
              </w:rPr>
            </w:pPr>
            <w:r w:rsidRPr="0079070F">
              <w:rPr>
                <w:rFonts w:ascii="Arial" w:hAnsi="Arial" w:cs="Arial"/>
                <w:sz w:val="20"/>
                <w:szCs w:val="20"/>
              </w:rPr>
              <w:t>2. Hypotension</w:t>
            </w:r>
          </w:p>
        </w:tc>
        <w:tc>
          <w:tcPr>
            <w:tcW w:w="7920" w:type="dxa"/>
            <w:tcBorders>
              <w:top w:val="nil"/>
              <w:left w:val="nil"/>
              <w:bottom w:val="nil"/>
              <w:right w:val="single" w:sz="4" w:space="0" w:color="auto"/>
            </w:tcBorders>
            <w:hideMark/>
          </w:tcPr>
          <w:p w14:paraId="76C3277F" w14:textId="77777777" w:rsidR="00EB77F1" w:rsidRPr="0079070F" w:rsidRDefault="00EB77F1" w:rsidP="00044657">
            <w:pPr>
              <w:rPr>
                <w:rFonts w:ascii="Arial" w:hAnsi="Arial" w:cs="Arial"/>
                <w:sz w:val="20"/>
                <w:szCs w:val="20"/>
              </w:rPr>
            </w:pPr>
            <w:r w:rsidRPr="0079070F">
              <w:rPr>
                <w:rFonts w:ascii="Arial" w:hAnsi="Arial" w:cs="Arial"/>
                <w:sz w:val="20"/>
                <w:szCs w:val="20"/>
              </w:rPr>
              <w:t>Systolic blood pressure &lt; 90 mmHg or a mean arterial pressure &lt; 65 mmHg.</w:t>
            </w:r>
          </w:p>
        </w:tc>
      </w:tr>
      <w:tr w:rsidR="00EB77F1" w14:paraId="763BFC1F" w14:textId="77777777" w:rsidTr="00044657">
        <w:trPr>
          <w:trHeight w:val="405"/>
        </w:trPr>
        <w:tc>
          <w:tcPr>
            <w:tcW w:w="2988" w:type="dxa"/>
            <w:tcBorders>
              <w:top w:val="nil"/>
              <w:left w:val="single" w:sz="4" w:space="0" w:color="auto"/>
              <w:bottom w:val="nil"/>
              <w:right w:val="nil"/>
            </w:tcBorders>
            <w:hideMark/>
          </w:tcPr>
          <w:p w14:paraId="210E7815" w14:textId="77777777" w:rsidR="00EB77F1" w:rsidRPr="0079070F" w:rsidRDefault="00EB77F1" w:rsidP="00044657">
            <w:pPr>
              <w:rPr>
                <w:rFonts w:ascii="Arial" w:hAnsi="Arial" w:cs="Arial"/>
                <w:sz w:val="20"/>
                <w:szCs w:val="20"/>
              </w:rPr>
            </w:pPr>
            <w:r w:rsidRPr="0079070F">
              <w:rPr>
                <w:rFonts w:ascii="Arial" w:hAnsi="Arial" w:cs="Arial"/>
                <w:sz w:val="20"/>
                <w:szCs w:val="20"/>
              </w:rPr>
              <w:t>3. Acute Ki</w:t>
            </w:r>
            <w:r>
              <w:rPr>
                <w:rFonts w:ascii="Arial" w:hAnsi="Arial" w:cs="Arial"/>
                <w:sz w:val="20"/>
                <w:szCs w:val="20"/>
              </w:rPr>
              <w:t>dney Injury</w:t>
            </w:r>
          </w:p>
        </w:tc>
        <w:tc>
          <w:tcPr>
            <w:tcW w:w="7920" w:type="dxa"/>
            <w:tcBorders>
              <w:top w:val="nil"/>
              <w:left w:val="nil"/>
              <w:bottom w:val="nil"/>
              <w:right w:val="single" w:sz="4" w:space="0" w:color="auto"/>
            </w:tcBorders>
            <w:hideMark/>
          </w:tcPr>
          <w:p w14:paraId="4321796C" w14:textId="77777777" w:rsidR="00EB77F1" w:rsidRPr="0079070F" w:rsidRDefault="00EB77F1" w:rsidP="00044657">
            <w:pPr>
              <w:rPr>
                <w:rFonts w:ascii="Arial" w:hAnsi="Arial" w:cs="Arial"/>
                <w:sz w:val="20"/>
                <w:szCs w:val="20"/>
              </w:rPr>
            </w:pPr>
            <w:r w:rsidRPr="0079070F">
              <w:rPr>
                <w:rFonts w:ascii="Arial" w:hAnsi="Arial" w:cs="Arial"/>
                <w:sz w:val="20"/>
                <w:szCs w:val="20"/>
              </w:rPr>
              <w:t>Serum creatinine &gt;2.0 mg/</w:t>
            </w:r>
            <w:proofErr w:type="spellStart"/>
            <w:r w:rsidRPr="0079070F">
              <w:rPr>
                <w:rFonts w:ascii="Arial" w:hAnsi="Arial" w:cs="Arial"/>
                <w:sz w:val="20"/>
                <w:szCs w:val="20"/>
              </w:rPr>
              <w:t>dL</w:t>
            </w:r>
            <w:proofErr w:type="spellEnd"/>
            <w:r w:rsidRPr="0079070F">
              <w:rPr>
                <w:rFonts w:ascii="Arial" w:hAnsi="Arial" w:cs="Arial"/>
                <w:sz w:val="20"/>
                <w:szCs w:val="20"/>
              </w:rPr>
              <w:t xml:space="preserve"> or 50% increase from known baseline in the absence of chronic kidney disease</w:t>
            </w:r>
          </w:p>
        </w:tc>
      </w:tr>
      <w:tr w:rsidR="00EB77F1" w14:paraId="7BC0E4C5" w14:textId="77777777" w:rsidTr="00044657">
        <w:trPr>
          <w:trHeight w:val="360"/>
        </w:trPr>
        <w:tc>
          <w:tcPr>
            <w:tcW w:w="2988" w:type="dxa"/>
            <w:tcBorders>
              <w:top w:val="nil"/>
              <w:left w:val="single" w:sz="4" w:space="0" w:color="auto"/>
              <w:bottom w:val="nil"/>
              <w:right w:val="nil"/>
            </w:tcBorders>
            <w:hideMark/>
          </w:tcPr>
          <w:p w14:paraId="764433EF" w14:textId="77777777" w:rsidR="00EB77F1" w:rsidRPr="0079070F" w:rsidRDefault="00EB77F1" w:rsidP="00044657">
            <w:pPr>
              <w:rPr>
                <w:rFonts w:ascii="Arial" w:hAnsi="Arial" w:cs="Arial"/>
                <w:sz w:val="20"/>
                <w:szCs w:val="20"/>
              </w:rPr>
            </w:pPr>
            <w:r w:rsidRPr="0079070F">
              <w:rPr>
                <w:rFonts w:ascii="Arial" w:hAnsi="Arial" w:cs="Arial"/>
                <w:sz w:val="20"/>
                <w:szCs w:val="20"/>
              </w:rPr>
              <w:t>4. Thrombocytopenia</w:t>
            </w:r>
          </w:p>
        </w:tc>
        <w:tc>
          <w:tcPr>
            <w:tcW w:w="7920" w:type="dxa"/>
            <w:tcBorders>
              <w:top w:val="nil"/>
              <w:left w:val="nil"/>
              <w:bottom w:val="nil"/>
              <w:right w:val="single" w:sz="4" w:space="0" w:color="auto"/>
            </w:tcBorders>
            <w:hideMark/>
          </w:tcPr>
          <w:p w14:paraId="31894FA3" w14:textId="77777777" w:rsidR="00EB77F1" w:rsidRPr="0079070F" w:rsidRDefault="00EB77F1" w:rsidP="00044657">
            <w:pPr>
              <w:rPr>
                <w:rFonts w:ascii="Arial" w:hAnsi="Arial" w:cs="Arial"/>
                <w:sz w:val="20"/>
                <w:szCs w:val="20"/>
              </w:rPr>
            </w:pPr>
            <w:r w:rsidRPr="0079070F">
              <w:rPr>
                <w:rFonts w:ascii="Arial" w:hAnsi="Arial" w:cs="Arial"/>
                <w:sz w:val="20"/>
                <w:szCs w:val="20"/>
              </w:rPr>
              <w:t>Platelet count &lt; 150,000 cells/μm3</w:t>
            </w:r>
          </w:p>
        </w:tc>
      </w:tr>
      <w:tr w:rsidR="00EB77F1" w14:paraId="1D33D408" w14:textId="77777777" w:rsidTr="00044657">
        <w:trPr>
          <w:trHeight w:val="531"/>
        </w:trPr>
        <w:tc>
          <w:tcPr>
            <w:tcW w:w="2988" w:type="dxa"/>
            <w:tcBorders>
              <w:top w:val="nil"/>
              <w:left w:val="single" w:sz="4" w:space="0" w:color="auto"/>
              <w:bottom w:val="nil"/>
              <w:right w:val="nil"/>
            </w:tcBorders>
            <w:hideMark/>
          </w:tcPr>
          <w:p w14:paraId="3215617D" w14:textId="77777777" w:rsidR="00EB77F1" w:rsidRPr="0079070F" w:rsidRDefault="00EB77F1" w:rsidP="00044657">
            <w:pPr>
              <w:rPr>
                <w:rFonts w:ascii="Arial" w:hAnsi="Arial" w:cs="Arial"/>
                <w:sz w:val="20"/>
                <w:szCs w:val="20"/>
              </w:rPr>
            </w:pPr>
            <w:r w:rsidRPr="0079070F">
              <w:rPr>
                <w:rFonts w:ascii="Arial" w:hAnsi="Arial" w:cs="Arial"/>
                <w:sz w:val="20"/>
                <w:szCs w:val="20"/>
              </w:rPr>
              <w:t>5. Coagulopathy</w:t>
            </w:r>
          </w:p>
        </w:tc>
        <w:tc>
          <w:tcPr>
            <w:tcW w:w="7920" w:type="dxa"/>
            <w:tcBorders>
              <w:top w:val="nil"/>
              <w:left w:val="nil"/>
              <w:bottom w:val="nil"/>
              <w:right w:val="single" w:sz="4" w:space="0" w:color="auto"/>
            </w:tcBorders>
            <w:hideMark/>
          </w:tcPr>
          <w:p w14:paraId="7949BF10" w14:textId="77777777" w:rsidR="00EB77F1" w:rsidRPr="0079070F" w:rsidRDefault="00EB77F1" w:rsidP="00044657">
            <w:pPr>
              <w:rPr>
                <w:rFonts w:ascii="Arial" w:hAnsi="Arial" w:cs="Arial"/>
                <w:sz w:val="20"/>
                <w:szCs w:val="20"/>
              </w:rPr>
            </w:pPr>
            <w:r w:rsidRPr="0079070F">
              <w:rPr>
                <w:rFonts w:ascii="Arial" w:hAnsi="Arial" w:cs="Arial"/>
                <w:sz w:val="20"/>
                <w:szCs w:val="20"/>
              </w:rPr>
              <w:t>Inte</w:t>
            </w:r>
            <w:r>
              <w:rPr>
                <w:rFonts w:ascii="Arial" w:hAnsi="Arial" w:cs="Arial"/>
                <w:sz w:val="20"/>
                <w:szCs w:val="20"/>
              </w:rPr>
              <w:t>rnational normalized ratio</w:t>
            </w:r>
            <w:r w:rsidRPr="0079070F">
              <w:rPr>
                <w:rFonts w:ascii="Arial" w:hAnsi="Arial" w:cs="Arial"/>
                <w:sz w:val="20"/>
                <w:szCs w:val="20"/>
              </w:rPr>
              <w:t xml:space="preserve"> &gt;1.5, activated partial thromboplastin time &gt;30 seconds, or partial thromboplastin time &gt;60 seconds, not otherwise explained by medical history</w:t>
            </w:r>
          </w:p>
        </w:tc>
      </w:tr>
      <w:tr w:rsidR="00EB77F1" w14:paraId="7CE62A43" w14:textId="77777777" w:rsidTr="00044657">
        <w:trPr>
          <w:trHeight w:val="369"/>
        </w:trPr>
        <w:tc>
          <w:tcPr>
            <w:tcW w:w="2988" w:type="dxa"/>
            <w:tcBorders>
              <w:top w:val="nil"/>
              <w:left w:val="single" w:sz="4" w:space="0" w:color="auto"/>
              <w:bottom w:val="nil"/>
              <w:right w:val="nil"/>
            </w:tcBorders>
            <w:hideMark/>
          </w:tcPr>
          <w:p w14:paraId="6859FD43" w14:textId="77777777" w:rsidR="00EB77F1" w:rsidRPr="0079070F" w:rsidRDefault="00EB77F1" w:rsidP="00044657">
            <w:pPr>
              <w:rPr>
                <w:rFonts w:ascii="Arial" w:hAnsi="Arial" w:cs="Arial"/>
                <w:sz w:val="20"/>
                <w:szCs w:val="20"/>
              </w:rPr>
            </w:pPr>
            <w:r w:rsidRPr="0079070F">
              <w:rPr>
                <w:rFonts w:ascii="Arial" w:hAnsi="Arial" w:cs="Arial"/>
                <w:sz w:val="20"/>
                <w:szCs w:val="20"/>
              </w:rPr>
              <w:t>6. Elevated Bilirubin</w:t>
            </w:r>
          </w:p>
        </w:tc>
        <w:tc>
          <w:tcPr>
            <w:tcW w:w="7920" w:type="dxa"/>
            <w:tcBorders>
              <w:top w:val="nil"/>
              <w:left w:val="nil"/>
              <w:bottom w:val="nil"/>
              <w:right w:val="single" w:sz="4" w:space="0" w:color="auto"/>
            </w:tcBorders>
            <w:hideMark/>
          </w:tcPr>
          <w:p w14:paraId="5F55E2AF" w14:textId="77777777" w:rsidR="00EB77F1" w:rsidRPr="0079070F" w:rsidRDefault="00EB77F1" w:rsidP="00044657">
            <w:pPr>
              <w:rPr>
                <w:rFonts w:ascii="Arial" w:hAnsi="Arial" w:cs="Arial"/>
                <w:sz w:val="20"/>
                <w:szCs w:val="20"/>
              </w:rPr>
            </w:pPr>
            <w:r w:rsidRPr="0079070F">
              <w:rPr>
                <w:rFonts w:ascii="Arial" w:hAnsi="Arial" w:cs="Arial"/>
                <w:sz w:val="20"/>
                <w:szCs w:val="20"/>
              </w:rPr>
              <w:t>Serum bilirubin &gt; 2.0 mg/</w:t>
            </w:r>
            <w:proofErr w:type="spellStart"/>
            <w:r w:rsidRPr="0079070F">
              <w:rPr>
                <w:rFonts w:ascii="Arial" w:hAnsi="Arial" w:cs="Arial"/>
                <w:sz w:val="20"/>
                <w:szCs w:val="20"/>
              </w:rPr>
              <w:t>dL</w:t>
            </w:r>
            <w:proofErr w:type="spellEnd"/>
            <w:r w:rsidRPr="0079070F">
              <w:rPr>
                <w:rFonts w:ascii="Arial" w:hAnsi="Arial" w:cs="Arial"/>
                <w:sz w:val="20"/>
                <w:szCs w:val="20"/>
              </w:rPr>
              <w:t xml:space="preserve"> in the absence of pre-existing liver failure</w:t>
            </w:r>
          </w:p>
        </w:tc>
      </w:tr>
      <w:tr w:rsidR="00EB77F1" w14:paraId="75FFC627" w14:textId="77777777" w:rsidTr="00044657">
        <w:trPr>
          <w:trHeight w:val="360"/>
        </w:trPr>
        <w:tc>
          <w:tcPr>
            <w:tcW w:w="2988" w:type="dxa"/>
            <w:tcBorders>
              <w:top w:val="nil"/>
              <w:left w:val="single" w:sz="4" w:space="0" w:color="auto"/>
              <w:bottom w:val="nil"/>
              <w:right w:val="nil"/>
            </w:tcBorders>
            <w:hideMark/>
          </w:tcPr>
          <w:p w14:paraId="24F0529D" w14:textId="77777777" w:rsidR="00EB77F1" w:rsidRPr="0079070F" w:rsidRDefault="00EB77F1" w:rsidP="00044657">
            <w:pPr>
              <w:rPr>
                <w:rFonts w:ascii="Arial" w:hAnsi="Arial" w:cs="Arial"/>
                <w:sz w:val="20"/>
                <w:szCs w:val="20"/>
              </w:rPr>
            </w:pPr>
            <w:r w:rsidRPr="0079070F">
              <w:rPr>
                <w:rFonts w:ascii="Arial" w:hAnsi="Arial" w:cs="Arial"/>
                <w:sz w:val="20"/>
                <w:szCs w:val="20"/>
              </w:rPr>
              <w:t>7. A</w:t>
            </w:r>
            <w:r>
              <w:rPr>
                <w:rFonts w:ascii="Arial" w:hAnsi="Arial" w:cs="Arial"/>
                <w:sz w:val="20"/>
                <w:szCs w:val="20"/>
              </w:rPr>
              <w:t xml:space="preserve">cute Altered Mental Status </w:t>
            </w:r>
          </w:p>
        </w:tc>
        <w:tc>
          <w:tcPr>
            <w:tcW w:w="7920" w:type="dxa"/>
            <w:tcBorders>
              <w:top w:val="nil"/>
              <w:left w:val="nil"/>
              <w:bottom w:val="nil"/>
              <w:right w:val="single" w:sz="4" w:space="0" w:color="auto"/>
            </w:tcBorders>
            <w:hideMark/>
          </w:tcPr>
          <w:p w14:paraId="329E17B2" w14:textId="77777777" w:rsidR="00EB77F1" w:rsidRPr="0079070F" w:rsidRDefault="00EB77F1" w:rsidP="00044657">
            <w:pPr>
              <w:rPr>
                <w:rFonts w:ascii="Arial" w:hAnsi="Arial" w:cs="Arial"/>
                <w:sz w:val="20"/>
                <w:szCs w:val="20"/>
              </w:rPr>
            </w:pPr>
            <w:r w:rsidRPr="0079070F">
              <w:rPr>
                <w:rFonts w:ascii="Arial" w:hAnsi="Arial" w:cs="Arial"/>
                <w:sz w:val="20"/>
                <w:szCs w:val="20"/>
              </w:rPr>
              <w:t>New altered mentation unrelated to the patient’s prior medical history</w:t>
            </w:r>
          </w:p>
        </w:tc>
      </w:tr>
      <w:tr w:rsidR="00EB77F1" w14:paraId="41E0F10E" w14:textId="77777777" w:rsidTr="00044657">
        <w:trPr>
          <w:trHeight w:val="324"/>
        </w:trPr>
        <w:tc>
          <w:tcPr>
            <w:tcW w:w="2988" w:type="dxa"/>
            <w:tcBorders>
              <w:top w:val="nil"/>
              <w:left w:val="single" w:sz="4" w:space="0" w:color="auto"/>
              <w:bottom w:val="nil"/>
              <w:right w:val="nil"/>
            </w:tcBorders>
            <w:hideMark/>
          </w:tcPr>
          <w:p w14:paraId="7061B2BD" w14:textId="77777777" w:rsidR="00EB77F1" w:rsidRPr="0079070F" w:rsidRDefault="00EB77F1" w:rsidP="00044657">
            <w:pPr>
              <w:rPr>
                <w:rFonts w:ascii="Arial" w:hAnsi="Arial" w:cs="Arial"/>
                <w:sz w:val="20"/>
                <w:szCs w:val="20"/>
              </w:rPr>
            </w:pPr>
            <w:r w:rsidRPr="0079070F">
              <w:rPr>
                <w:rFonts w:ascii="Arial" w:hAnsi="Arial" w:cs="Arial"/>
                <w:sz w:val="20"/>
                <w:szCs w:val="20"/>
              </w:rPr>
              <w:t>8. Altered Gas Exchange</w:t>
            </w:r>
          </w:p>
        </w:tc>
        <w:tc>
          <w:tcPr>
            <w:tcW w:w="7920" w:type="dxa"/>
            <w:tcBorders>
              <w:top w:val="nil"/>
              <w:left w:val="nil"/>
              <w:bottom w:val="nil"/>
              <w:right w:val="single" w:sz="4" w:space="0" w:color="auto"/>
            </w:tcBorders>
            <w:hideMark/>
          </w:tcPr>
          <w:p w14:paraId="6F12DE24" w14:textId="77777777" w:rsidR="00EB77F1" w:rsidRPr="0079070F" w:rsidRDefault="00EB77F1" w:rsidP="00044657">
            <w:pPr>
              <w:rPr>
                <w:rFonts w:ascii="Arial" w:hAnsi="Arial" w:cs="Arial"/>
                <w:sz w:val="20"/>
                <w:szCs w:val="20"/>
              </w:rPr>
            </w:pPr>
            <w:r w:rsidRPr="0079070F">
              <w:rPr>
                <w:rFonts w:ascii="Arial" w:hAnsi="Arial" w:cs="Arial"/>
                <w:sz w:val="20"/>
                <w:szCs w:val="20"/>
              </w:rPr>
              <w:t>New increased O</w:t>
            </w:r>
            <w:r w:rsidRPr="0079070F">
              <w:rPr>
                <w:rFonts w:ascii="Arial" w:hAnsi="Arial" w:cs="Arial"/>
                <w:sz w:val="20"/>
                <w:szCs w:val="20"/>
                <w:vertAlign w:val="subscript"/>
              </w:rPr>
              <w:t>2</w:t>
            </w:r>
            <w:r w:rsidRPr="0079070F">
              <w:rPr>
                <w:rFonts w:ascii="Arial" w:hAnsi="Arial" w:cs="Arial"/>
                <w:sz w:val="20"/>
                <w:szCs w:val="20"/>
              </w:rPr>
              <w:t xml:space="preserve"> requirement to maintain SaO</w:t>
            </w:r>
            <w:r w:rsidRPr="0079070F">
              <w:rPr>
                <w:rFonts w:ascii="Arial" w:hAnsi="Arial" w:cs="Arial"/>
                <w:sz w:val="20"/>
                <w:szCs w:val="20"/>
                <w:vertAlign w:val="subscript"/>
              </w:rPr>
              <w:t>2</w:t>
            </w:r>
            <w:r w:rsidRPr="0079070F">
              <w:rPr>
                <w:rFonts w:ascii="Arial" w:hAnsi="Arial" w:cs="Arial"/>
                <w:sz w:val="20"/>
                <w:szCs w:val="20"/>
              </w:rPr>
              <w:t xml:space="preserve"> &gt; 90% or a PaO</w:t>
            </w:r>
            <w:r w:rsidRPr="0079070F">
              <w:rPr>
                <w:rFonts w:ascii="Arial" w:hAnsi="Arial" w:cs="Arial"/>
                <w:sz w:val="20"/>
                <w:szCs w:val="20"/>
                <w:vertAlign w:val="subscript"/>
              </w:rPr>
              <w:t>2</w:t>
            </w:r>
            <w:r w:rsidRPr="0079070F">
              <w:rPr>
                <w:rFonts w:ascii="Arial" w:hAnsi="Arial" w:cs="Arial"/>
                <w:sz w:val="20"/>
                <w:szCs w:val="20"/>
              </w:rPr>
              <w:t>/FiO</w:t>
            </w:r>
            <w:r w:rsidRPr="0079070F">
              <w:rPr>
                <w:rFonts w:ascii="Arial" w:hAnsi="Arial" w:cs="Arial"/>
                <w:sz w:val="20"/>
                <w:szCs w:val="20"/>
                <w:vertAlign w:val="subscript"/>
              </w:rPr>
              <w:t>2</w:t>
            </w:r>
            <w:r w:rsidRPr="0079070F">
              <w:rPr>
                <w:rFonts w:ascii="Arial" w:hAnsi="Arial" w:cs="Arial"/>
                <w:sz w:val="20"/>
                <w:szCs w:val="20"/>
              </w:rPr>
              <w:t xml:space="preserve"> ratio &lt; 300</w:t>
            </w:r>
          </w:p>
        </w:tc>
      </w:tr>
      <w:tr w:rsidR="00EB77F1" w14:paraId="5E2D1C63" w14:textId="77777777" w:rsidTr="00044657">
        <w:trPr>
          <w:trHeight w:val="1404"/>
        </w:trPr>
        <w:tc>
          <w:tcPr>
            <w:tcW w:w="2988" w:type="dxa"/>
            <w:tcBorders>
              <w:top w:val="nil"/>
              <w:left w:val="single" w:sz="4" w:space="0" w:color="auto"/>
              <w:bottom w:val="single" w:sz="4" w:space="0" w:color="auto"/>
              <w:right w:val="nil"/>
            </w:tcBorders>
            <w:hideMark/>
          </w:tcPr>
          <w:p w14:paraId="6D8C882A" w14:textId="77777777" w:rsidR="00EB77F1" w:rsidRPr="0079070F" w:rsidRDefault="00EB77F1" w:rsidP="00044657">
            <w:pPr>
              <w:rPr>
                <w:rFonts w:ascii="Arial" w:hAnsi="Arial" w:cs="Arial"/>
                <w:sz w:val="20"/>
                <w:szCs w:val="20"/>
              </w:rPr>
            </w:pPr>
            <w:r>
              <w:rPr>
                <w:rFonts w:ascii="Arial" w:hAnsi="Arial" w:cs="Arial"/>
                <w:sz w:val="20"/>
                <w:szCs w:val="20"/>
              </w:rPr>
              <w:t>9</w:t>
            </w:r>
            <w:r w:rsidRPr="0079070F">
              <w:rPr>
                <w:rFonts w:ascii="Arial" w:hAnsi="Arial" w:cs="Arial"/>
                <w:sz w:val="20"/>
                <w:szCs w:val="20"/>
              </w:rPr>
              <w:t>. ≥2 “Super-SIRS” Criteria at Triage</w:t>
            </w:r>
          </w:p>
        </w:tc>
        <w:tc>
          <w:tcPr>
            <w:tcW w:w="7920" w:type="dxa"/>
            <w:tcBorders>
              <w:top w:val="nil"/>
              <w:left w:val="nil"/>
              <w:bottom w:val="single" w:sz="4" w:space="0" w:color="auto"/>
              <w:right w:val="single" w:sz="4" w:space="0" w:color="auto"/>
            </w:tcBorders>
            <w:hideMark/>
          </w:tcPr>
          <w:p w14:paraId="4350AA8B" w14:textId="77777777" w:rsidR="00EB77F1" w:rsidRPr="0079070F" w:rsidRDefault="00EB77F1" w:rsidP="00044657">
            <w:pPr>
              <w:rPr>
                <w:rFonts w:ascii="Arial" w:hAnsi="Arial" w:cs="Arial"/>
                <w:sz w:val="20"/>
                <w:szCs w:val="20"/>
              </w:rPr>
            </w:pPr>
            <w:r w:rsidRPr="0079070F">
              <w:rPr>
                <w:rFonts w:ascii="Arial" w:hAnsi="Arial" w:cs="Arial"/>
                <w:sz w:val="20"/>
                <w:szCs w:val="20"/>
              </w:rPr>
              <w:t xml:space="preserve">Locally developed consensus-criteria, where meeting ≥2 criteria at triage was a “time-zero” entry point for 3-hour bundle care. “Super-SIRS” criteria were: </w:t>
            </w:r>
          </w:p>
          <w:p w14:paraId="08AB76EF" w14:textId="77777777" w:rsidR="00EB77F1" w:rsidRPr="0079070F" w:rsidRDefault="00EB77F1" w:rsidP="00044657">
            <w:pPr>
              <w:pStyle w:val="ListParagraph"/>
              <w:numPr>
                <w:ilvl w:val="0"/>
                <w:numId w:val="1"/>
              </w:numPr>
              <w:rPr>
                <w:rFonts w:ascii="Arial" w:hAnsi="Arial" w:cs="Arial"/>
                <w:sz w:val="20"/>
                <w:szCs w:val="20"/>
              </w:rPr>
            </w:pPr>
            <w:r w:rsidRPr="0079070F">
              <w:rPr>
                <w:rFonts w:ascii="Arial" w:hAnsi="Arial" w:cs="Arial"/>
                <w:sz w:val="20"/>
                <w:szCs w:val="20"/>
              </w:rPr>
              <w:t>Heart rate greater ≥ 120</w:t>
            </w:r>
          </w:p>
          <w:p w14:paraId="34FE5989" w14:textId="77777777" w:rsidR="00EB77F1" w:rsidRPr="0079070F" w:rsidRDefault="00EB77F1" w:rsidP="00044657">
            <w:pPr>
              <w:pStyle w:val="ListParagraph"/>
              <w:numPr>
                <w:ilvl w:val="0"/>
                <w:numId w:val="1"/>
              </w:numPr>
              <w:rPr>
                <w:rFonts w:ascii="Arial" w:hAnsi="Arial" w:cs="Arial"/>
                <w:sz w:val="20"/>
                <w:szCs w:val="20"/>
              </w:rPr>
            </w:pPr>
            <w:r w:rsidRPr="0079070F">
              <w:rPr>
                <w:rFonts w:ascii="Arial" w:hAnsi="Arial" w:cs="Arial"/>
                <w:sz w:val="20"/>
                <w:szCs w:val="20"/>
              </w:rPr>
              <w:t>Respiratory rate ≥ 24</w:t>
            </w:r>
          </w:p>
          <w:p w14:paraId="1CBDA4C7" w14:textId="77777777" w:rsidR="00EB77F1" w:rsidRPr="0079070F" w:rsidRDefault="00EB77F1" w:rsidP="00044657">
            <w:pPr>
              <w:pStyle w:val="ListParagraph"/>
              <w:numPr>
                <w:ilvl w:val="0"/>
                <w:numId w:val="1"/>
              </w:numPr>
              <w:rPr>
                <w:rFonts w:ascii="Arial" w:hAnsi="Arial" w:cs="Arial"/>
                <w:sz w:val="20"/>
                <w:szCs w:val="20"/>
              </w:rPr>
            </w:pPr>
            <w:r w:rsidRPr="0079070F">
              <w:rPr>
                <w:rFonts w:ascii="Arial" w:hAnsi="Arial" w:cs="Arial"/>
                <w:sz w:val="20"/>
                <w:szCs w:val="20"/>
              </w:rPr>
              <w:t>Systolic blood pressure &lt; 90 mmHg or mean arterial pressure &lt; 65 mmHg</w:t>
            </w:r>
          </w:p>
          <w:p w14:paraId="32672F20" w14:textId="77777777" w:rsidR="00EB77F1" w:rsidRPr="0079070F" w:rsidRDefault="00EB77F1" w:rsidP="00044657">
            <w:pPr>
              <w:pStyle w:val="ListParagraph"/>
              <w:numPr>
                <w:ilvl w:val="0"/>
                <w:numId w:val="1"/>
              </w:numPr>
              <w:rPr>
                <w:rFonts w:ascii="Arial" w:hAnsi="Arial" w:cs="Arial"/>
                <w:sz w:val="20"/>
                <w:szCs w:val="20"/>
              </w:rPr>
            </w:pPr>
            <w:r w:rsidRPr="0079070F">
              <w:rPr>
                <w:rFonts w:ascii="Arial" w:hAnsi="Arial" w:cs="Arial"/>
                <w:sz w:val="20"/>
                <w:szCs w:val="20"/>
              </w:rPr>
              <w:t>Temperature ≥ 38.0° C (101.0° F) or ≤ 36.0° C (96.8° F)</w:t>
            </w:r>
          </w:p>
          <w:p w14:paraId="3B87A762" w14:textId="77777777" w:rsidR="00EB77F1" w:rsidRPr="0079070F" w:rsidRDefault="00EB77F1" w:rsidP="00044657">
            <w:pPr>
              <w:pStyle w:val="ListParagraph"/>
              <w:numPr>
                <w:ilvl w:val="0"/>
                <w:numId w:val="1"/>
              </w:numPr>
              <w:rPr>
                <w:rFonts w:ascii="Arial" w:hAnsi="Arial" w:cs="Arial"/>
                <w:sz w:val="20"/>
                <w:szCs w:val="20"/>
              </w:rPr>
            </w:pPr>
            <w:r w:rsidRPr="0079070F">
              <w:rPr>
                <w:rFonts w:ascii="Arial" w:hAnsi="Arial" w:cs="Arial"/>
                <w:sz w:val="20"/>
                <w:szCs w:val="20"/>
              </w:rPr>
              <w:t>Acutely altered mental status</w:t>
            </w:r>
          </w:p>
        </w:tc>
      </w:tr>
      <w:tr w:rsidR="00EB77F1" w14:paraId="360E5FB2" w14:textId="77777777" w:rsidTr="00044657">
        <w:trPr>
          <w:trHeight w:val="260"/>
        </w:trPr>
        <w:tc>
          <w:tcPr>
            <w:tcW w:w="10908" w:type="dxa"/>
            <w:gridSpan w:val="2"/>
            <w:tcBorders>
              <w:top w:val="single" w:sz="4" w:space="0" w:color="auto"/>
              <w:left w:val="single" w:sz="4" w:space="0" w:color="auto"/>
              <w:bottom w:val="single" w:sz="4" w:space="0" w:color="auto"/>
              <w:right w:val="single" w:sz="4" w:space="0" w:color="auto"/>
            </w:tcBorders>
            <w:vAlign w:val="center"/>
            <w:hideMark/>
          </w:tcPr>
          <w:p w14:paraId="03A6EE3D" w14:textId="77777777" w:rsidR="00EB77F1" w:rsidRPr="0079070F" w:rsidRDefault="00EB77F1" w:rsidP="00044657">
            <w:pPr>
              <w:ind w:left="90" w:hanging="90"/>
              <w:rPr>
                <w:rFonts w:ascii="Arial" w:hAnsi="Arial" w:cs="Arial"/>
                <w:sz w:val="20"/>
                <w:szCs w:val="20"/>
              </w:rPr>
            </w:pPr>
            <w:proofErr w:type="gramStart"/>
            <w:r w:rsidRPr="0079070F">
              <w:rPr>
                <w:rFonts w:ascii="Arial" w:hAnsi="Arial" w:cs="Arial"/>
                <w:sz w:val="20"/>
                <w:szCs w:val="20"/>
                <w:vertAlign w:val="superscript"/>
              </w:rPr>
              <w:t>a</w:t>
            </w:r>
            <w:proofErr w:type="gramEnd"/>
            <w:r w:rsidRPr="0079070F">
              <w:rPr>
                <w:rFonts w:ascii="Arial" w:hAnsi="Arial" w:cs="Arial"/>
                <w:sz w:val="20"/>
                <w:szCs w:val="20"/>
              </w:rPr>
              <w:t xml:space="preserve"> All patients included in this study had a source of infection, met at least 2 SIRS criteria, and met at least one of the above organ dysfunction criteria. All organ dysfunction criteria was new, acute, and not explainable by the patients past medical history alone.</w:t>
            </w:r>
          </w:p>
        </w:tc>
      </w:tr>
    </w:tbl>
    <w:p w14:paraId="3869148C" w14:textId="77777777" w:rsidR="00900B78" w:rsidRDefault="00900B78"/>
    <w:p w14:paraId="413B646B" w14:textId="095BC2CB" w:rsidR="007A6742" w:rsidRDefault="007A6742">
      <w:r>
        <w:br w:type="page"/>
      </w:r>
    </w:p>
    <w:p w14:paraId="204CA044" w14:textId="77777777" w:rsidR="00900B78" w:rsidRDefault="00900B78"/>
    <w:tbl>
      <w:tblPr>
        <w:tblStyle w:val="TableGrid"/>
        <w:tblW w:w="0" w:type="auto"/>
        <w:tblLook w:val="04A0" w:firstRow="1" w:lastRow="0" w:firstColumn="1" w:lastColumn="0" w:noHBand="0" w:noVBand="1"/>
      </w:tblPr>
      <w:tblGrid>
        <w:gridCol w:w="2988"/>
        <w:gridCol w:w="7920"/>
      </w:tblGrid>
      <w:tr w:rsidR="007A6742" w14:paraId="2229E109" w14:textId="77777777" w:rsidTr="00A76EC8">
        <w:trPr>
          <w:trHeight w:val="476"/>
        </w:trPr>
        <w:tc>
          <w:tcPr>
            <w:tcW w:w="10908" w:type="dxa"/>
            <w:gridSpan w:val="2"/>
            <w:tcBorders>
              <w:top w:val="single" w:sz="4" w:space="0" w:color="auto"/>
              <w:left w:val="single" w:sz="4" w:space="0" w:color="auto"/>
              <w:bottom w:val="nil"/>
              <w:right w:val="single" w:sz="4" w:space="0" w:color="auto"/>
            </w:tcBorders>
            <w:hideMark/>
          </w:tcPr>
          <w:p w14:paraId="23C6F175" w14:textId="539166E6" w:rsidR="007A6742" w:rsidRPr="000313AA" w:rsidRDefault="007A6742" w:rsidP="00D776BA">
            <w:pPr>
              <w:rPr>
                <w:rFonts w:ascii="Arial" w:hAnsi="Arial" w:cs="Arial"/>
                <w:sz w:val="28"/>
              </w:rPr>
            </w:pPr>
            <w:r>
              <w:rPr>
                <w:rFonts w:ascii="Arial" w:hAnsi="Arial" w:cs="Arial"/>
                <w:b/>
                <w:sz w:val="28"/>
              </w:rPr>
              <w:t>Supplemental Table 2:</w:t>
            </w:r>
            <w:r w:rsidRPr="000313AA">
              <w:rPr>
                <w:rFonts w:ascii="Arial" w:hAnsi="Arial" w:cs="Arial"/>
                <w:b/>
                <w:sz w:val="28"/>
              </w:rPr>
              <w:t xml:space="preserve"> </w:t>
            </w:r>
            <w:r w:rsidR="00D776BA">
              <w:rPr>
                <w:rFonts w:ascii="Arial" w:hAnsi="Arial" w:cs="Arial"/>
                <w:b/>
                <w:sz w:val="28"/>
              </w:rPr>
              <w:t>Three</w:t>
            </w:r>
            <w:r>
              <w:rPr>
                <w:rFonts w:ascii="Arial" w:hAnsi="Arial" w:cs="Arial"/>
                <w:b/>
                <w:sz w:val="28"/>
              </w:rPr>
              <w:t>-Hour Sepsis Bundle Interventions</w:t>
            </w:r>
          </w:p>
        </w:tc>
      </w:tr>
      <w:tr w:rsidR="007A6742" w14:paraId="3393D197" w14:textId="77777777" w:rsidTr="00A76EC8">
        <w:tc>
          <w:tcPr>
            <w:tcW w:w="2988" w:type="dxa"/>
            <w:tcBorders>
              <w:top w:val="nil"/>
              <w:left w:val="single" w:sz="4" w:space="0" w:color="auto"/>
              <w:bottom w:val="single" w:sz="4" w:space="0" w:color="auto"/>
              <w:right w:val="nil"/>
            </w:tcBorders>
          </w:tcPr>
          <w:p w14:paraId="3BAACD58" w14:textId="3007EFF6" w:rsidR="007A6742" w:rsidRPr="007A6742" w:rsidRDefault="007A6742" w:rsidP="007A6742">
            <w:pPr>
              <w:rPr>
                <w:rFonts w:ascii="Arial" w:hAnsi="Arial" w:cs="Arial"/>
                <w:b/>
                <w:sz w:val="24"/>
                <w:u w:val="single"/>
              </w:rPr>
            </w:pPr>
            <w:r w:rsidRPr="007A6742">
              <w:rPr>
                <w:rFonts w:ascii="Arial" w:hAnsi="Arial" w:cs="Arial"/>
                <w:b/>
                <w:sz w:val="24"/>
                <w:u w:val="single"/>
              </w:rPr>
              <w:t>Domain</w:t>
            </w:r>
          </w:p>
        </w:tc>
        <w:tc>
          <w:tcPr>
            <w:tcW w:w="7920" w:type="dxa"/>
            <w:tcBorders>
              <w:top w:val="nil"/>
              <w:left w:val="nil"/>
              <w:bottom w:val="single" w:sz="4" w:space="0" w:color="auto"/>
              <w:right w:val="single" w:sz="4" w:space="0" w:color="auto"/>
            </w:tcBorders>
            <w:hideMark/>
          </w:tcPr>
          <w:p w14:paraId="22946FDA" w14:textId="3D8F00DC" w:rsidR="007A6742" w:rsidRPr="007A6742" w:rsidRDefault="007A6742" w:rsidP="007A6742">
            <w:pPr>
              <w:jc w:val="center"/>
              <w:rPr>
                <w:rFonts w:ascii="Arial" w:hAnsi="Arial" w:cs="Arial"/>
                <w:b/>
                <w:sz w:val="24"/>
                <w:u w:val="single"/>
              </w:rPr>
            </w:pPr>
            <w:r w:rsidRPr="007A6742">
              <w:rPr>
                <w:rFonts w:ascii="Arial" w:hAnsi="Arial" w:cs="Arial"/>
                <w:b/>
                <w:sz w:val="24"/>
                <w:u w:val="single"/>
              </w:rPr>
              <w:t>Required Interventions</w:t>
            </w:r>
          </w:p>
        </w:tc>
      </w:tr>
      <w:tr w:rsidR="00A76EC8" w14:paraId="6DC032BE" w14:textId="77777777" w:rsidTr="00A76EC8">
        <w:trPr>
          <w:trHeight w:val="324"/>
        </w:trPr>
        <w:tc>
          <w:tcPr>
            <w:tcW w:w="2988" w:type="dxa"/>
            <w:tcBorders>
              <w:top w:val="single" w:sz="4" w:space="0" w:color="auto"/>
              <w:left w:val="single" w:sz="4" w:space="0" w:color="auto"/>
              <w:bottom w:val="nil"/>
              <w:right w:val="nil"/>
            </w:tcBorders>
          </w:tcPr>
          <w:p w14:paraId="4EE48276" w14:textId="77777777" w:rsidR="00A76EC8" w:rsidRPr="0079070F" w:rsidRDefault="00A76EC8" w:rsidP="007A6742">
            <w:pPr>
              <w:rPr>
                <w:rFonts w:ascii="Arial" w:hAnsi="Arial" w:cs="Arial"/>
                <w:sz w:val="20"/>
                <w:szCs w:val="20"/>
              </w:rPr>
            </w:pPr>
            <w:r>
              <w:rPr>
                <w:rFonts w:ascii="Arial" w:hAnsi="Arial" w:cs="Arial"/>
                <w:b/>
                <w:sz w:val="20"/>
              </w:rPr>
              <w:t>Local Sepsis Bundle at Study Institutions</w:t>
            </w:r>
            <w:r w:rsidRPr="000313AA">
              <w:rPr>
                <w:rFonts w:ascii="Arial" w:hAnsi="Arial" w:cs="Arial"/>
                <w:b/>
                <w:sz w:val="20"/>
              </w:rPr>
              <w:t xml:space="preserve"> </w:t>
            </w:r>
            <w:r w:rsidRPr="000313AA">
              <w:rPr>
                <w:rFonts w:ascii="Arial" w:hAnsi="Arial" w:cs="Arial"/>
                <w:sz w:val="20"/>
                <w:vertAlign w:val="superscript"/>
              </w:rPr>
              <w:t>a</w:t>
            </w:r>
          </w:p>
        </w:tc>
        <w:tc>
          <w:tcPr>
            <w:tcW w:w="7920" w:type="dxa"/>
            <w:tcBorders>
              <w:top w:val="single" w:sz="4" w:space="0" w:color="auto"/>
              <w:left w:val="nil"/>
              <w:bottom w:val="nil"/>
              <w:right w:val="single" w:sz="4" w:space="0" w:color="auto"/>
            </w:tcBorders>
          </w:tcPr>
          <w:p w14:paraId="29BA5E4B" w14:textId="223463C7" w:rsidR="00A76EC8" w:rsidRPr="0079070F" w:rsidRDefault="00A76EC8" w:rsidP="007A6742">
            <w:pPr>
              <w:rPr>
                <w:rFonts w:ascii="Arial" w:hAnsi="Arial" w:cs="Arial"/>
                <w:sz w:val="20"/>
                <w:szCs w:val="20"/>
              </w:rPr>
            </w:pPr>
          </w:p>
        </w:tc>
      </w:tr>
      <w:tr w:rsidR="007A6742" w14:paraId="389F8A57" w14:textId="77777777" w:rsidTr="00A76EC8">
        <w:trPr>
          <w:trHeight w:val="1503"/>
        </w:trPr>
        <w:tc>
          <w:tcPr>
            <w:tcW w:w="2988" w:type="dxa"/>
            <w:tcBorders>
              <w:top w:val="nil"/>
              <w:left w:val="single" w:sz="4" w:space="0" w:color="auto"/>
              <w:bottom w:val="nil"/>
              <w:right w:val="nil"/>
            </w:tcBorders>
            <w:hideMark/>
          </w:tcPr>
          <w:p w14:paraId="48DC6E10" w14:textId="3135AAD7" w:rsidR="007A6742" w:rsidRPr="0079070F" w:rsidRDefault="007A6742" w:rsidP="007A6742">
            <w:pPr>
              <w:rPr>
                <w:rFonts w:ascii="Arial" w:hAnsi="Arial" w:cs="Arial"/>
                <w:sz w:val="20"/>
                <w:szCs w:val="20"/>
              </w:rPr>
            </w:pPr>
            <w:r>
              <w:rPr>
                <w:rFonts w:ascii="Arial" w:hAnsi="Arial" w:cs="Arial"/>
                <w:sz w:val="20"/>
                <w:szCs w:val="20"/>
              </w:rPr>
              <w:t>Antibiotics</w:t>
            </w:r>
          </w:p>
        </w:tc>
        <w:tc>
          <w:tcPr>
            <w:tcW w:w="7920" w:type="dxa"/>
            <w:tcBorders>
              <w:top w:val="nil"/>
              <w:left w:val="nil"/>
              <w:bottom w:val="nil"/>
              <w:right w:val="single" w:sz="4" w:space="0" w:color="auto"/>
            </w:tcBorders>
            <w:hideMark/>
          </w:tcPr>
          <w:p w14:paraId="5E58C157" w14:textId="77777777" w:rsidR="00264792" w:rsidRDefault="007A6742" w:rsidP="007A6742">
            <w:pPr>
              <w:rPr>
                <w:rFonts w:ascii="Arial" w:hAnsi="Arial" w:cs="Arial"/>
                <w:sz w:val="20"/>
                <w:szCs w:val="20"/>
              </w:rPr>
            </w:pPr>
            <w:r>
              <w:rPr>
                <w:rFonts w:ascii="Arial" w:hAnsi="Arial" w:cs="Arial"/>
                <w:sz w:val="20"/>
                <w:szCs w:val="20"/>
              </w:rPr>
              <w:t>Administer Broad-Spectrum, Source-Directed, Empiric Antibiotics within 180 minutes of suspected sepsis meeting 2 SIRS criteria, or within 60 minutes of meeting objective sepsis organ dysfunction criteria (Time-Zero), whichever is earlier</w:t>
            </w:r>
            <w:r w:rsidR="00264792">
              <w:rPr>
                <w:rFonts w:ascii="Arial" w:hAnsi="Arial" w:cs="Arial"/>
                <w:sz w:val="20"/>
                <w:szCs w:val="20"/>
              </w:rPr>
              <w:t xml:space="preserve">. </w:t>
            </w:r>
          </w:p>
          <w:p w14:paraId="63E56CC6" w14:textId="77777777" w:rsidR="00264792" w:rsidRDefault="00264792" w:rsidP="007A6742">
            <w:pPr>
              <w:rPr>
                <w:rFonts w:ascii="Arial" w:hAnsi="Arial" w:cs="Arial"/>
                <w:sz w:val="20"/>
                <w:szCs w:val="20"/>
              </w:rPr>
            </w:pPr>
          </w:p>
          <w:p w14:paraId="4B773E58" w14:textId="0DFDFD27" w:rsidR="007A6742" w:rsidRPr="00264792" w:rsidRDefault="00264792" w:rsidP="007A6742">
            <w:pPr>
              <w:rPr>
                <w:rFonts w:ascii="Arial" w:hAnsi="Arial" w:cs="Arial"/>
                <w:sz w:val="20"/>
                <w:szCs w:val="20"/>
              </w:rPr>
            </w:pPr>
            <w:r w:rsidRPr="00264792">
              <w:rPr>
                <w:rFonts w:ascii="Arial" w:hAnsi="Arial" w:cs="Arial"/>
                <w:sz w:val="18"/>
                <w:szCs w:val="20"/>
              </w:rPr>
              <w:t>Inpatients already receiving broad-spectrum intravenous antibiotics were exempt from this requirement and their care was considered compliant.</w:t>
            </w:r>
          </w:p>
        </w:tc>
      </w:tr>
      <w:tr w:rsidR="007A6742" w14:paraId="647EE3D7" w14:textId="77777777" w:rsidTr="00A76EC8">
        <w:trPr>
          <w:trHeight w:val="360"/>
        </w:trPr>
        <w:tc>
          <w:tcPr>
            <w:tcW w:w="2988" w:type="dxa"/>
            <w:tcBorders>
              <w:top w:val="nil"/>
              <w:left w:val="single" w:sz="4" w:space="0" w:color="auto"/>
              <w:bottom w:val="nil"/>
              <w:right w:val="nil"/>
            </w:tcBorders>
          </w:tcPr>
          <w:p w14:paraId="5B8AF34F" w14:textId="6B87F4C0" w:rsidR="007A6742" w:rsidRPr="0079070F" w:rsidRDefault="007A6742" w:rsidP="007A6742">
            <w:pPr>
              <w:rPr>
                <w:rFonts w:ascii="Arial" w:hAnsi="Arial" w:cs="Arial"/>
                <w:sz w:val="20"/>
                <w:szCs w:val="20"/>
              </w:rPr>
            </w:pPr>
            <w:r>
              <w:rPr>
                <w:rFonts w:ascii="Arial" w:hAnsi="Arial" w:cs="Arial"/>
                <w:sz w:val="20"/>
                <w:szCs w:val="20"/>
              </w:rPr>
              <w:t>Blood Cultures</w:t>
            </w:r>
          </w:p>
        </w:tc>
        <w:tc>
          <w:tcPr>
            <w:tcW w:w="7920" w:type="dxa"/>
            <w:tcBorders>
              <w:top w:val="nil"/>
              <w:left w:val="nil"/>
              <w:bottom w:val="nil"/>
              <w:right w:val="single" w:sz="4" w:space="0" w:color="auto"/>
            </w:tcBorders>
          </w:tcPr>
          <w:p w14:paraId="7CA51761" w14:textId="319BAA2A" w:rsidR="007A6742" w:rsidRPr="0079070F" w:rsidRDefault="007A6742" w:rsidP="007A6742">
            <w:pPr>
              <w:rPr>
                <w:rFonts w:ascii="Arial" w:hAnsi="Arial" w:cs="Arial"/>
                <w:sz w:val="20"/>
                <w:szCs w:val="20"/>
              </w:rPr>
            </w:pPr>
            <w:r>
              <w:rPr>
                <w:rFonts w:ascii="Arial" w:hAnsi="Arial" w:cs="Arial"/>
                <w:sz w:val="20"/>
                <w:szCs w:val="20"/>
              </w:rPr>
              <w:t>Draw 2 sets of blood cultures prior to the administration of antibiotics</w:t>
            </w:r>
          </w:p>
        </w:tc>
      </w:tr>
      <w:tr w:rsidR="007A6742" w14:paraId="5826E239" w14:textId="77777777" w:rsidTr="00A76EC8">
        <w:trPr>
          <w:trHeight w:val="1710"/>
        </w:trPr>
        <w:tc>
          <w:tcPr>
            <w:tcW w:w="2988" w:type="dxa"/>
            <w:tcBorders>
              <w:top w:val="nil"/>
              <w:left w:val="single" w:sz="4" w:space="0" w:color="auto"/>
              <w:bottom w:val="nil"/>
              <w:right w:val="nil"/>
            </w:tcBorders>
          </w:tcPr>
          <w:p w14:paraId="72F795D4" w14:textId="3BDBD377" w:rsidR="007A6742" w:rsidRPr="0079070F" w:rsidRDefault="007A6742" w:rsidP="007A6742">
            <w:pPr>
              <w:rPr>
                <w:rFonts w:ascii="Arial" w:hAnsi="Arial" w:cs="Arial"/>
                <w:sz w:val="20"/>
                <w:szCs w:val="20"/>
              </w:rPr>
            </w:pPr>
            <w:r>
              <w:rPr>
                <w:rFonts w:ascii="Arial" w:hAnsi="Arial" w:cs="Arial"/>
                <w:sz w:val="20"/>
                <w:szCs w:val="20"/>
              </w:rPr>
              <w:t>Intravenous Fluids</w:t>
            </w:r>
          </w:p>
        </w:tc>
        <w:tc>
          <w:tcPr>
            <w:tcW w:w="7920" w:type="dxa"/>
            <w:tcBorders>
              <w:top w:val="nil"/>
              <w:left w:val="nil"/>
              <w:bottom w:val="nil"/>
              <w:right w:val="single" w:sz="4" w:space="0" w:color="auto"/>
            </w:tcBorders>
          </w:tcPr>
          <w:p w14:paraId="738ADD31" w14:textId="77777777" w:rsidR="00264792" w:rsidRDefault="007A6742" w:rsidP="00264792">
            <w:pPr>
              <w:rPr>
                <w:rFonts w:ascii="Arial" w:hAnsi="Arial" w:cs="Arial"/>
                <w:sz w:val="20"/>
                <w:szCs w:val="20"/>
              </w:rPr>
            </w:pPr>
            <w:r w:rsidRPr="007A6742">
              <w:rPr>
                <w:rFonts w:ascii="Arial" w:hAnsi="Arial" w:cs="Arial"/>
                <w:i/>
                <w:sz w:val="20"/>
                <w:szCs w:val="20"/>
              </w:rPr>
              <w:t>Initiate</w:t>
            </w:r>
            <w:r>
              <w:rPr>
                <w:rFonts w:ascii="Arial" w:hAnsi="Arial" w:cs="Arial"/>
                <w:sz w:val="20"/>
                <w:szCs w:val="20"/>
              </w:rPr>
              <w:t xml:space="preserve"> a bolus administration (20-30mL/kg at 500mL/15 min) of intravenous crystalloid </w:t>
            </w:r>
            <w:r w:rsidRPr="007A6742">
              <w:rPr>
                <w:rFonts w:ascii="Arial" w:hAnsi="Arial" w:cs="Arial"/>
                <w:i/>
                <w:sz w:val="20"/>
                <w:szCs w:val="20"/>
              </w:rPr>
              <w:t>within 30 minutes</w:t>
            </w:r>
            <w:r>
              <w:rPr>
                <w:rFonts w:ascii="Arial" w:hAnsi="Arial" w:cs="Arial"/>
                <w:sz w:val="20"/>
                <w:szCs w:val="20"/>
              </w:rPr>
              <w:t xml:space="preserve"> of Time-Zero.</w:t>
            </w:r>
            <w:r w:rsidR="00264792">
              <w:rPr>
                <w:rFonts w:ascii="Arial" w:hAnsi="Arial" w:cs="Arial"/>
                <w:sz w:val="20"/>
                <w:szCs w:val="20"/>
              </w:rPr>
              <w:t xml:space="preserve"> </w:t>
            </w:r>
          </w:p>
          <w:p w14:paraId="127B8589" w14:textId="77777777" w:rsidR="00264792" w:rsidRDefault="00264792" w:rsidP="00264792">
            <w:pPr>
              <w:rPr>
                <w:rFonts w:ascii="Arial" w:hAnsi="Arial" w:cs="Arial"/>
                <w:sz w:val="20"/>
                <w:szCs w:val="20"/>
              </w:rPr>
            </w:pPr>
          </w:p>
          <w:p w14:paraId="1F3BE758" w14:textId="315484E8" w:rsidR="007A6742" w:rsidRPr="00264792" w:rsidRDefault="00264792" w:rsidP="00264792">
            <w:pPr>
              <w:rPr>
                <w:rFonts w:ascii="Arial" w:hAnsi="Arial" w:cs="Arial"/>
                <w:sz w:val="20"/>
                <w:szCs w:val="20"/>
              </w:rPr>
            </w:pPr>
            <w:r w:rsidRPr="00264792">
              <w:rPr>
                <w:rFonts w:ascii="Arial" w:hAnsi="Arial" w:cs="Arial"/>
                <w:sz w:val="18"/>
                <w:szCs w:val="20"/>
              </w:rPr>
              <w:t xml:space="preserve">Patients whose care did not meet this goal were exempt and considered fluid compliant if they had either acute decompensated heart failure and a left ventricular assist device, or dialysis-dependent end-stage renal failure with clinical evidence of volume overload, were exempt from the fluid requirement. The bundle goal </w:t>
            </w:r>
            <w:proofErr w:type="gramStart"/>
            <w:r w:rsidRPr="00264792">
              <w:rPr>
                <w:rFonts w:ascii="Arial" w:hAnsi="Arial" w:cs="Arial"/>
                <w:sz w:val="18"/>
                <w:szCs w:val="20"/>
              </w:rPr>
              <w:t>was intended to be met</w:t>
            </w:r>
            <w:proofErr w:type="gramEnd"/>
            <w:r w:rsidRPr="00264792">
              <w:rPr>
                <w:rFonts w:ascii="Arial" w:hAnsi="Arial" w:cs="Arial"/>
                <w:sz w:val="18"/>
                <w:szCs w:val="20"/>
              </w:rPr>
              <w:t xml:space="preserve"> for all other patients.</w:t>
            </w:r>
          </w:p>
        </w:tc>
      </w:tr>
      <w:tr w:rsidR="007A6742" w14:paraId="46E1095B" w14:textId="77777777" w:rsidTr="00A76EC8">
        <w:trPr>
          <w:trHeight w:val="360"/>
        </w:trPr>
        <w:tc>
          <w:tcPr>
            <w:tcW w:w="2988" w:type="dxa"/>
            <w:tcBorders>
              <w:top w:val="nil"/>
              <w:left w:val="single" w:sz="4" w:space="0" w:color="auto"/>
              <w:bottom w:val="nil"/>
              <w:right w:val="nil"/>
            </w:tcBorders>
          </w:tcPr>
          <w:p w14:paraId="66C19AF1" w14:textId="60A7FAFD" w:rsidR="007A6742" w:rsidRPr="0079070F" w:rsidRDefault="007A6742" w:rsidP="007A6742">
            <w:pPr>
              <w:rPr>
                <w:rFonts w:ascii="Arial" w:hAnsi="Arial" w:cs="Arial"/>
                <w:sz w:val="20"/>
                <w:szCs w:val="20"/>
              </w:rPr>
            </w:pPr>
            <w:r>
              <w:rPr>
                <w:rFonts w:ascii="Arial" w:hAnsi="Arial" w:cs="Arial"/>
                <w:sz w:val="20"/>
                <w:szCs w:val="20"/>
              </w:rPr>
              <w:t>Lactate Measurement</w:t>
            </w:r>
          </w:p>
        </w:tc>
        <w:tc>
          <w:tcPr>
            <w:tcW w:w="7920" w:type="dxa"/>
            <w:tcBorders>
              <w:top w:val="nil"/>
              <w:left w:val="nil"/>
              <w:bottom w:val="nil"/>
              <w:right w:val="single" w:sz="4" w:space="0" w:color="auto"/>
            </w:tcBorders>
          </w:tcPr>
          <w:p w14:paraId="2C620185" w14:textId="41FC21D0" w:rsidR="007A6742" w:rsidRPr="0079070F" w:rsidRDefault="007A6742" w:rsidP="007A6742">
            <w:pPr>
              <w:rPr>
                <w:rFonts w:ascii="Arial" w:hAnsi="Arial" w:cs="Arial"/>
                <w:sz w:val="20"/>
                <w:szCs w:val="20"/>
              </w:rPr>
            </w:pPr>
            <w:r>
              <w:rPr>
                <w:rFonts w:ascii="Arial" w:hAnsi="Arial" w:cs="Arial"/>
                <w:sz w:val="20"/>
                <w:szCs w:val="20"/>
              </w:rPr>
              <w:t>Order lactate measurement and obtain result within 90 minutes of order time.</w:t>
            </w:r>
          </w:p>
        </w:tc>
      </w:tr>
      <w:tr w:rsidR="00A76EC8" w:rsidRPr="0079070F" w14:paraId="0BC3B4D2" w14:textId="77777777" w:rsidTr="00A76EC8">
        <w:trPr>
          <w:trHeight w:val="324"/>
        </w:trPr>
        <w:tc>
          <w:tcPr>
            <w:tcW w:w="2988" w:type="dxa"/>
            <w:tcBorders>
              <w:top w:val="nil"/>
              <w:left w:val="single" w:sz="4" w:space="0" w:color="auto"/>
              <w:bottom w:val="nil"/>
              <w:right w:val="nil"/>
            </w:tcBorders>
          </w:tcPr>
          <w:p w14:paraId="1B7FC6DD" w14:textId="77777777" w:rsidR="00A76EC8" w:rsidRPr="0079070F" w:rsidRDefault="00A76EC8" w:rsidP="007A6742">
            <w:pPr>
              <w:rPr>
                <w:rFonts w:ascii="Arial" w:hAnsi="Arial" w:cs="Arial"/>
                <w:sz w:val="20"/>
                <w:szCs w:val="20"/>
              </w:rPr>
            </w:pPr>
            <w:r>
              <w:rPr>
                <w:rFonts w:ascii="Arial" w:hAnsi="Arial" w:cs="Arial"/>
                <w:b/>
                <w:sz w:val="20"/>
              </w:rPr>
              <w:t xml:space="preserve">Surviving Sepsis Campaign 3-hour Bundle </w:t>
            </w:r>
          </w:p>
        </w:tc>
        <w:tc>
          <w:tcPr>
            <w:tcW w:w="7920" w:type="dxa"/>
            <w:tcBorders>
              <w:top w:val="nil"/>
              <w:left w:val="nil"/>
              <w:bottom w:val="nil"/>
              <w:right w:val="single" w:sz="4" w:space="0" w:color="auto"/>
            </w:tcBorders>
          </w:tcPr>
          <w:p w14:paraId="6C22BD43" w14:textId="3D7DBB1B" w:rsidR="00A76EC8" w:rsidRPr="0079070F" w:rsidRDefault="00A76EC8" w:rsidP="007A6742">
            <w:pPr>
              <w:rPr>
                <w:rFonts w:ascii="Arial" w:hAnsi="Arial" w:cs="Arial"/>
                <w:sz w:val="20"/>
                <w:szCs w:val="20"/>
              </w:rPr>
            </w:pPr>
          </w:p>
        </w:tc>
      </w:tr>
      <w:tr w:rsidR="007A6742" w:rsidRPr="0079070F" w14:paraId="2CE6A8EA" w14:textId="77777777" w:rsidTr="00A76EC8">
        <w:trPr>
          <w:trHeight w:val="576"/>
        </w:trPr>
        <w:tc>
          <w:tcPr>
            <w:tcW w:w="2988" w:type="dxa"/>
            <w:tcBorders>
              <w:top w:val="nil"/>
              <w:left w:val="single" w:sz="4" w:space="0" w:color="auto"/>
              <w:bottom w:val="nil"/>
              <w:right w:val="nil"/>
            </w:tcBorders>
            <w:hideMark/>
          </w:tcPr>
          <w:p w14:paraId="6DFC8AF8" w14:textId="77777777" w:rsidR="007A6742" w:rsidRPr="0079070F" w:rsidRDefault="007A6742" w:rsidP="007A6742">
            <w:pPr>
              <w:rPr>
                <w:rFonts w:ascii="Arial" w:hAnsi="Arial" w:cs="Arial"/>
                <w:sz w:val="20"/>
                <w:szCs w:val="20"/>
              </w:rPr>
            </w:pPr>
            <w:r>
              <w:rPr>
                <w:rFonts w:ascii="Arial" w:hAnsi="Arial" w:cs="Arial"/>
                <w:sz w:val="20"/>
                <w:szCs w:val="20"/>
              </w:rPr>
              <w:t>Antibiotics</w:t>
            </w:r>
          </w:p>
        </w:tc>
        <w:tc>
          <w:tcPr>
            <w:tcW w:w="7920" w:type="dxa"/>
            <w:tcBorders>
              <w:top w:val="nil"/>
              <w:left w:val="nil"/>
              <w:bottom w:val="nil"/>
              <w:right w:val="single" w:sz="4" w:space="0" w:color="auto"/>
            </w:tcBorders>
            <w:hideMark/>
          </w:tcPr>
          <w:p w14:paraId="0C6C2C28" w14:textId="30F0D664" w:rsidR="007A6742" w:rsidRPr="0079070F" w:rsidRDefault="007A6742" w:rsidP="007A6742">
            <w:pPr>
              <w:rPr>
                <w:rFonts w:ascii="Arial" w:hAnsi="Arial" w:cs="Arial"/>
                <w:sz w:val="20"/>
                <w:szCs w:val="20"/>
              </w:rPr>
            </w:pPr>
            <w:r>
              <w:rPr>
                <w:rFonts w:ascii="Arial" w:hAnsi="Arial" w:cs="Arial"/>
                <w:sz w:val="20"/>
                <w:szCs w:val="20"/>
              </w:rPr>
              <w:t>Administer Broad-Spectrum, Source-Directed, Empiric Antibiotics within 60 minutes of Time-Zero</w:t>
            </w:r>
          </w:p>
        </w:tc>
      </w:tr>
      <w:tr w:rsidR="007A6742" w:rsidRPr="0079070F" w14:paraId="1200E3DB" w14:textId="77777777" w:rsidTr="00A76EC8">
        <w:trPr>
          <w:trHeight w:val="360"/>
        </w:trPr>
        <w:tc>
          <w:tcPr>
            <w:tcW w:w="2988" w:type="dxa"/>
            <w:tcBorders>
              <w:top w:val="nil"/>
              <w:left w:val="single" w:sz="4" w:space="0" w:color="auto"/>
              <w:bottom w:val="nil"/>
              <w:right w:val="nil"/>
            </w:tcBorders>
          </w:tcPr>
          <w:p w14:paraId="27EADD32" w14:textId="77777777" w:rsidR="007A6742" w:rsidRPr="0079070F" w:rsidRDefault="007A6742" w:rsidP="007A6742">
            <w:pPr>
              <w:rPr>
                <w:rFonts w:ascii="Arial" w:hAnsi="Arial" w:cs="Arial"/>
                <w:sz w:val="20"/>
                <w:szCs w:val="20"/>
              </w:rPr>
            </w:pPr>
            <w:r>
              <w:rPr>
                <w:rFonts w:ascii="Arial" w:hAnsi="Arial" w:cs="Arial"/>
                <w:sz w:val="20"/>
                <w:szCs w:val="20"/>
              </w:rPr>
              <w:t>Blood Cultures</w:t>
            </w:r>
          </w:p>
        </w:tc>
        <w:tc>
          <w:tcPr>
            <w:tcW w:w="7920" w:type="dxa"/>
            <w:tcBorders>
              <w:top w:val="nil"/>
              <w:left w:val="nil"/>
              <w:bottom w:val="nil"/>
              <w:right w:val="single" w:sz="4" w:space="0" w:color="auto"/>
            </w:tcBorders>
          </w:tcPr>
          <w:p w14:paraId="783485E0" w14:textId="77777777" w:rsidR="007A6742" w:rsidRPr="0079070F" w:rsidRDefault="007A6742" w:rsidP="007A6742">
            <w:pPr>
              <w:rPr>
                <w:rFonts w:ascii="Arial" w:hAnsi="Arial" w:cs="Arial"/>
                <w:sz w:val="20"/>
                <w:szCs w:val="20"/>
              </w:rPr>
            </w:pPr>
            <w:r>
              <w:rPr>
                <w:rFonts w:ascii="Arial" w:hAnsi="Arial" w:cs="Arial"/>
                <w:sz w:val="20"/>
                <w:szCs w:val="20"/>
              </w:rPr>
              <w:t>Draw 2 sets of blood cultures prior to the administration of antibiotics</w:t>
            </w:r>
          </w:p>
        </w:tc>
      </w:tr>
      <w:tr w:rsidR="007A6742" w:rsidRPr="0079070F" w14:paraId="49429BF0" w14:textId="77777777" w:rsidTr="00A76EC8">
        <w:trPr>
          <w:trHeight w:val="558"/>
        </w:trPr>
        <w:tc>
          <w:tcPr>
            <w:tcW w:w="2988" w:type="dxa"/>
            <w:tcBorders>
              <w:top w:val="nil"/>
              <w:left w:val="single" w:sz="4" w:space="0" w:color="auto"/>
              <w:bottom w:val="nil"/>
              <w:right w:val="nil"/>
            </w:tcBorders>
          </w:tcPr>
          <w:p w14:paraId="4731F73D" w14:textId="77777777" w:rsidR="007A6742" w:rsidRPr="0079070F" w:rsidRDefault="007A6742" w:rsidP="007A6742">
            <w:pPr>
              <w:rPr>
                <w:rFonts w:ascii="Arial" w:hAnsi="Arial" w:cs="Arial"/>
                <w:sz w:val="20"/>
                <w:szCs w:val="20"/>
              </w:rPr>
            </w:pPr>
            <w:r>
              <w:rPr>
                <w:rFonts w:ascii="Arial" w:hAnsi="Arial" w:cs="Arial"/>
                <w:sz w:val="20"/>
                <w:szCs w:val="20"/>
              </w:rPr>
              <w:t>Intravenous Fluids</w:t>
            </w:r>
          </w:p>
        </w:tc>
        <w:tc>
          <w:tcPr>
            <w:tcW w:w="7920" w:type="dxa"/>
            <w:tcBorders>
              <w:top w:val="nil"/>
              <w:left w:val="nil"/>
              <w:bottom w:val="nil"/>
              <w:right w:val="single" w:sz="4" w:space="0" w:color="auto"/>
            </w:tcBorders>
          </w:tcPr>
          <w:p w14:paraId="62E6BF37" w14:textId="13E29C38" w:rsidR="007A6742" w:rsidRPr="0079070F" w:rsidRDefault="007A6742" w:rsidP="007A6742">
            <w:pPr>
              <w:rPr>
                <w:rFonts w:ascii="Arial" w:hAnsi="Arial" w:cs="Arial"/>
                <w:sz w:val="20"/>
                <w:szCs w:val="20"/>
              </w:rPr>
            </w:pPr>
            <w:r w:rsidRPr="007A6742">
              <w:rPr>
                <w:rFonts w:ascii="Arial" w:hAnsi="Arial" w:cs="Arial"/>
                <w:i/>
                <w:sz w:val="20"/>
                <w:szCs w:val="20"/>
              </w:rPr>
              <w:t>Complete</w:t>
            </w:r>
            <w:r>
              <w:rPr>
                <w:rFonts w:ascii="Arial" w:hAnsi="Arial" w:cs="Arial"/>
                <w:sz w:val="20"/>
                <w:szCs w:val="20"/>
              </w:rPr>
              <w:t xml:space="preserve"> a bolus administration (30mL/kg) of intravenous crystalloid within </w:t>
            </w:r>
            <w:r w:rsidRPr="007A6742">
              <w:rPr>
                <w:rFonts w:ascii="Arial" w:hAnsi="Arial" w:cs="Arial"/>
                <w:i/>
                <w:sz w:val="20"/>
                <w:szCs w:val="20"/>
              </w:rPr>
              <w:t>3 hours</w:t>
            </w:r>
            <w:r>
              <w:rPr>
                <w:rFonts w:ascii="Arial" w:hAnsi="Arial" w:cs="Arial"/>
                <w:sz w:val="20"/>
                <w:szCs w:val="20"/>
              </w:rPr>
              <w:t xml:space="preserve"> of Time-Zero.</w:t>
            </w:r>
          </w:p>
        </w:tc>
      </w:tr>
      <w:tr w:rsidR="007A6742" w:rsidRPr="0079070F" w14:paraId="79462B52" w14:textId="77777777" w:rsidTr="00A76EC8">
        <w:trPr>
          <w:trHeight w:val="360"/>
        </w:trPr>
        <w:tc>
          <w:tcPr>
            <w:tcW w:w="2988" w:type="dxa"/>
            <w:tcBorders>
              <w:top w:val="nil"/>
              <w:left w:val="single" w:sz="4" w:space="0" w:color="auto"/>
              <w:bottom w:val="nil"/>
              <w:right w:val="nil"/>
            </w:tcBorders>
          </w:tcPr>
          <w:p w14:paraId="1B6522CD" w14:textId="77777777" w:rsidR="007A6742" w:rsidRPr="0079070F" w:rsidRDefault="007A6742" w:rsidP="007A6742">
            <w:pPr>
              <w:rPr>
                <w:rFonts w:ascii="Arial" w:hAnsi="Arial" w:cs="Arial"/>
                <w:sz w:val="20"/>
                <w:szCs w:val="20"/>
              </w:rPr>
            </w:pPr>
            <w:r>
              <w:rPr>
                <w:rFonts w:ascii="Arial" w:hAnsi="Arial" w:cs="Arial"/>
                <w:sz w:val="20"/>
                <w:szCs w:val="20"/>
              </w:rPr>
              <w:t>Lactate Measurement</w:t>
            </w:r>
          </w:p>
        </w:tc>
        <w:tc>
          <w:tcPr>
            <w:tcW w:w="7920" w:type="dxa"/>
            <w:tcBorders>
              <w:top w:val="nil"/>
              <w:left w:val="nil"/>
              <w:bottom w:val="nil"/>
              <w:right w:val="single" w:sz="4" w:space="0" w:color="auto"/>
            </w:tcBorders>
          </w:tcPr>
          <w:p w14:paraId="11F4D96F" w14:textId="0D407DCD" w:rsidR="007A6742" w:rsidRPr="0079070F" w:rsidRDefault="00727229" w:rsidP="00727229">
            <w:pPr>
              <w:rPr>
                <w:rFonts w:ascii="Arial" w:hAnsi="Arial" w:cs="Arial"/>
                <w:sz w:val="20"/>
                <w:szCs w:val="20"/>
              </w:rPr>
            </w:pPr>
            <w:r>
              <w:rPr>
                <w:rFonts w:ascii="Arial" w:hAnsi="Arial" w:cs="Arial"/>
                <w:sz w:val="20"/>
                <w:szCs w:val="20"/>
              </w:rPr>
              <w:t>Measure</w:t>
            </w:r>
            <w:r w:rsidR="007A6742">
              <w:rPr>
                <w:rFonts w:ascii="Arial" w:hAnsi="Arial" w:cs="Arial"/>
                <w:sz w:val="20"/>
                <w:szCs w:val="20"/>
              </w:rPr>
              <w:t xml:space="preserve"> lactate </w:t>
            </w:r>
            <w:r>
              <w:rPr>
                <w:rFonts w:ascii="Arial" w:hAnsi="Arial" w:cs="Arial"/>
                <w:sz w:val="20"/>
                <w:szCs w:val="20"/>
              </w:rPr>
              <w:t>level within 180 minutes</w:t>
            </w:r>
            <w:r w:rsidR="007A6742">
              <w:rPr>
                <w:rFonts w:ascii="Arial" w:hAnsi="Arial" w:cs="Arial"/>
                <w:sz w:val="20"/>
                <w:szCs w:val="20"/>
              </w:rPr>
              <w:t>.</w:t>
            </w:r>
          </w:p>
        </w:tc>
      </w:tr>
      <w:tr w:rsidR="007A6742" w14:paraId="67B7CA53" w14:textId="77777777" w:rsidTr="007A6742">
        <w:trPr>
          <w:trHeight w:val="260"/>
        </w:trPr>
        <w:tc>
          <w:tcPr>
            <w:tcW w:w="10908" w:type="dxa"/>
            <w:gridSpan w:val="2"/>
            <w:tcBorders>
              <w:top w:val="single" w:sz="4" w:space="0" w:color="auto"/>
              <w:left w:val="single" w:sz="4" w:space="0" w:color="auto"/>
              <w:bottom w:val="single" w:sz="4" w:space="0" w:color="auto"/>
              <w:right w:val="single" w:sz="4" w:space="0" w:color="auto"/>
            </w:tcBorders>
            <w:vAlign w:val="center"/>
            <w:hideMark/>
          </w:tcPr>
          <w:p w14:paraId="49DE1426" w14:textId="3D74D47B" w:rsidR="007A6742" w:rsidRPr="0079070F" w:rsidRDefault="007A6742" w:rsidP="00B95302">
            <w:pPr>
              <w:ind w:left="90" w:hanging="90"/>
              <w:rPr>
                <w:rFonts w:ascii="Arial" w:hAnsi="Arial" w:cs="Arial"/>
                <w:sz w:val="20"/>
                <w:szCs w:val="20"/>
              </w:rPr>
            </w:pPr>
            <w:proofErr w:type="gramStart"/>
            <w:r w:rsidRPr="0079070F">
              <w:rPr>
                <w:rFonts w:ascii="Arial" w:hAnsi="Arial" w:cs="Arial"/>
                <w:sz w:val="20"/>
                <w:szCs w:val="20"/>
                <w:vertAlign w:val="superscript"/>
              </w:rPr>
              <w:t>a</w:t>
            </w:r>
            <w:proofErr w:type="gramEnd"/>
            <w:r w:rsidRPr="0079070F">
              <w:rPr>
                <w:rFonts w:ascii="Arial" w:hAnsi="Arial" w:cs="Arial"/>
                <w:sz w:val="20"/>
                <w:szCs w:val="20"/>
              </w:rPr>
              <w:t xml:space="preserve"> </w:t>
            </w:r>
            <w:r w:rsidR="00B95302">
              <w:rPr>
                <w:rFonts w:ascii="Arial" w:hAnsi="Arial" w:cs="Arial"/>
                <w:sz w:val="20"/>
                <w:szCs w:val="20"/>
              </w:rPr>
              <w:t>Full bundle compliance was considered to be adherence to all four bundle elements. The local sepsis bundle was used for the main analysis as this reflected standard of care at the study sites.</w:t>
            </w:r>
          </w:p>
        </w:tc>
      </w:tr>
    </w:tbl>
    <w:p w14:paraId="1E883A4F" w14:textId="77777777" w:rsidR="00DD1BAF" w:rsidRDefault="00DD1BAF">
      <w:r>
        <w:br w:type="page"/>
      </w:r>
    </w:p>
    <w:tbl>
      <w:tblPr>
        <w:tblW w:w="11016" w:type="dxa"/>
        <w:tblLayout w:type="fixed"/>
        <w:tblLook w:val="04A0" w:firstRow="1" w:lastRow="0" w:firstColumn="1" w:lastColumn="0" w:noHBand="0" w:noVBand="1"/>
      </w:tblPr>
      <w:tblGrid>
        <w:gridCol w:w="3258"/>
        <w:gridCol w:w="1530"/>
        <w:gridCol w:w="1530"/>
        <w:gridCol w:w="1530"/>
        <w:gridCol w:w="1620"/>
        <w:gridCol w:w="1548"/>
      </w:tblGrid>
      <w:tr w:rsidR="00A76EC8" w:rsidRPr="00701584" w14:paraId="5A203606" w14:textId="77777777" w:rsidTr="00A76EC8">
        <w:trPr>
          <w:trHeight w:val="170"/>
        </w:trPr>
        <w:tc>
          <w:tcPr>
            <w:tcW w:w="11016" w:type="dxa"/>
            <w:gridSpan w:val="6"/>
            <w:tcBorders>
              <w:top w:val="single" w:sz="4" w:space="0" w:color="auto"/>
              <w:left w:val="single" w:sz="4" w:space="0" w:color="auto"/>
              <w:right w:val="single" w:sz="4" w:space="0" w:color="auto"/>
            </w:tcBorders>
            <w:hideMark/>
          </w:tcPr>
          <w:p w14:paraId="4DA550F9" w14:textId="02F95EB4" w:rsidR="00A76EC8" w:rsidRPr="00701584" w:rsidRDefault="00A76EC8" w:rsidP="00A76EC8">
            <w:pPr>
              <w:spacing w:after="0" w:line="360" w:lineRule="auto"/>
              <w:rPr>
                <w:rFonts w:ascii="Arial" w:hAnsi="Arial" w:cs="Arial"/>
                <w:b/>
                <w:bCs/>
                <w:color w:val="000000"/>
                <w:sz w:val="28"/>
                <w:szCs w:val="28"/>
              </w:rPr>
            </w:pPr>
            <w:r>
              <w:rPr>
                <w:rFonts w:ascii="Arial" w:hAnsi="Arial" w:cs="Arial"/>
                <w:b/>
                <w:bCs/>
                <w:color w:val="000000"/>
                <w:sz w:val="28"/>
                <w:szCs w:val="28"/>
              </w:rPr>
              <w:lastRenderedPageBreak/>
              <w:t>Supplemental Table 3:</w:t>
            </w:r>
            <w:r w:rsidRPr="00701584">
              <w:rPr>
                <w:rFonts w:ascii="Arial" w:hAnsi="Arial" w:cs="Arial"/>
                <w:b/>
                <w:bCs/>
                <w:color w:val="000000"/>
                <w:sz w:val="28"/>
                <w:szCs w:val="28"/>
              </w:rPr>
              <w:t xml:space="preserve"> </w:t>
            </w:r>
            <w:r>
              <w:rPr>
                <w:rFonts w:ascii="Arial" w:hAnsi="Arial" w:cs="Arial"/>
                <w:b/>
                <w:bCs/>
                <w:color w:val="000000"/>
                <w:sz w:val="28"/>
                <w:szCs w:val="28"/>
              </w:rPr>
              <w:t>Baseline Variables in Unmatched and Matched Cohorts</w:t>
            </w:r>
            <w:r w:rsidRPr="00701584">
              <w:rPr>
                <w:rFonts w:ascii="Arial" w:hAnsi="Arial" w:cs="Arial"/>
                <w:b/>
                <w:bCs/>
                <w:color w:val="000000"/>
                <w:sz w:val="28"/>
                <w:szCs w:val="28"/>
              </w:rPr>
              <w:t xml:space="preserve"> </w:t>
            </w:r>
          </w:p>
        </w:tc>
      </w:tr>
      <w:tr w:rsidR="00A76EC8" w:rsidRPr="00701584" w14:paraId="41C886B6" w14:textId="77777777" w:rsidTr="00A76EC8">
        <w:trPr>
          <w:trHeight w:hRule="exact" w:val="333"/>
        </w:trPr>
        <w:tc>
          <w:tcPr>
            <w:tcW w:w="3258" w:type="dxa"/>
            <w:tcBorders>
              <w:left w:val="single" w:sz="4" w:space="0" w:color="auto"/>
            </w:tcBorders>
          </w:tcPr>
          <w:p w14:paraId="20C56EA8" w14:textId="77777777" w:rsidR="00A76EC8" w:rsidRPr="00DF7CD3" w:rsidRDefault="00A76EC8" w:rsidP="00A76EC8">
            <w:pPr>
              <w:spacing w:after="0" w:line="240" w:lineRule="auto"/>
              <w:rPr>
                <w:rFonts w:ascii="Arial" w:hAnsi="Arial" w:cs="Arial"/>
                <w:b/>
                <w:color w:val="000000"/>
                <w:szCs w:val="16"/>
              </w:rPr>
            </w:pPr>
          </w:p>
        </w:tc>
        <w:tc>
          <w:tcPr>
            <w:tcW w:w="4590" w:type="dxa"/>
            <w:gridSpan w:val="3"/>
          </w:tcPr>
          <w:p w14:paraId="5132DAC7" w14:textId="77777777" w:rsidR="00A76EC8" w:rsidRPr="0085797C" w:rsidRDefault="00A76EC8" w:rsidP="00A76EC8">
            <w:pPr>
              <w:spacing w:after="0" w:line="240" w:lineRule="auto"/>
              <w:jc w:val="center"/>
              <w:rPr>
                <w:rFonts w:ascii="Arial" w:hAnsi="Arial"/>
                <w:b/>
                <w:color w:val="000000"/>
              </w:rPr>
            </w:pPr>
            <w:r w:rsidRPr="0085797C">
              <w:rPr>
                <w:rFonts w:ascii="Arial" w:hAnsi="Arial"/>
                <w:b/>
                <w:color w:val="000000"/>
              </w:rPr>
              <w:t>Entire (Unmatched) Cohort</w:t>
            </w:r>
          </w:p>
        </w:tc>
        <w:tc>
          <w:tcPr>
            <w:tcW w:w="3168" w:type="dxa"/>
            <w:gridSpan w:val="2"/>
            <w:tcBorders>
              <w:right w:val="single" w:sz="4" w:space="0" w:color="auto"/>
            </w:tcBorders>
            <w:shd w:val="clear" w:color="auto" w:fill="auto"/>
          </w:tcPr>
          <w:p w14:paraId="26FFE387" w14:textId="77777777" w:rsidR="00A76EC8" w:rsidRPr="00353B70" w:rsidRDefault="00A76EC8" w:rsidP="00A76EC8">
            <w:pPr>
              <w:spacing w:after="0" w:line="240" w:lineRule="auto"/>
              <w:jc w:val="center"/>
              <w:rPr>
                <w:rFonts w:ascii="Arial" w:hAnsi="Arial" w:cs="Arial"/>
                <w:b/>
                <w:color w:val="000000"/>
                <w:szCs w:val="16"/>
              </w:rPr>
            </w:pPr>
            <w:r w:rsidRPr="0085797C">
              <w:rPr>
                <w:rFonts w:ascii="Arial" w:hAnsi="Arial"/>
                <w:b/>
                <w:color w:val="000000"/>
              </w:rPr>
              <w:t>Matched Cohort</w:t>
            </w:r>
          </w:p>
        </w:tc>
      </w:tr>
      <w:tr w:rsidR="00A76EC8" w:rsidRPr="00701584" w14:paraId="0A54C941" w14:textId="77777777" w:rsidTr="00C148F7">
        <w:trPr>
          <w:trHeight w:hRule="exact" w:val="270"/>
        </w:trPr>
        <w:tc>
          <w:tcPr>
            <w:tcW w:w="3258" w:type="dxa"/>
            <w:tcBorders>
              <w:left w:val="single" w:sz="4" w:space="0" w:color="auto"/>
              <w:bottom w:val="single" w:sz="4" w:space="0" w:color="auto"/>
              <w:right w:val="nil"/>
            </w:tcBorders>
            <w:shd w:val="clear" w:color="auto" w:fill="auto"/>
            <w:vAlign w:val="center"/>
          </w:tcPr>
          <w:p w14:paraId="44E4D7B2" w14:textId="77777777" w:rsidR="00A76EC8" w:rsidRPr="0085797C" w:rsidRDefault="00A76EC8" w:rsidP="00A76EC8">
            <w:pPr>
              <w:spacing w:after="0" w:line="240" w:lineRule="auto"/>
              <w:rPr>
                <w:rFonts w:ascii="Arial" w:hAnsi="Arial"/>
                <w:color w:val="000000"/>
              </w:rPr>
            </w:pPr>
            <w:r w:rsidRPr="0085797C">
              <w:rPr>
                <w:rFonts w:ascii="Arial" w:hAnsi="Arial"/>
                <w:b/>
                <w:color w:val="000000"/>
              </w:rPr>
              <w:t>Variable</w:t>
            </w:r>
          </w:p>
        </w:tc>
        <w:tc>
          <w:tcPr>
            <w:tcW w:w="1530" w:type="dxa"/>
            <w:tcBorders>
              <w:left w:val="nil"/>
              <w:bottom w:val="single" w:sz="4" w:space="0" w:color="auto"/>
              <w:right w:val="nil"/>
            </w:tcBorders>
            <w:shd w:val="clear" w:color="auto" w:fill="auto"/>
            <w:vAlign w:val="center"/>
          </w:tcPr>
          <w:p w14:paraId="1A33B0DE" w14:textId="77777777" w:rsidR="00A76EC8" w:rsidRPr="00473334" w:rsidRDefault="00A76EC8" w:rsidP="00A76EC8">
            <w:pPr>
              <w:spacing w:after="0" w:line="240" w:lineRule="auto"/>
              <w:jc w:val="center"/>
              <w:rPr>
                <w:rFonts w:ascii="Arial" w:hAnsi="Arial" w:cs="Arial"/>
                <w:b/>
                <w:color w:val="000000"/>
                <w:szCs w:val="16"/>
              </w:rPr>
            </w:pPr>
            <w:r w:rsidRPr="00473334">
              <w:rPr>
                <w:rFonts w:ascii="Arial" w:hAnsi="Arial" w:cs="Arial"/>
                <w:b/>
                <w:color w:val="000000"/>
                <w:szCs w:val="16"/>
              </w:rPr>
              <w:t>All Subjects</w:t>
            </w:r>
          </w:p>
        </w:tc>
        <w:tc>
          <w:tcPr>
            <w:tcW w:w="1530" w:type="dxa"/>
            <w:tcBorders>
              <w:left w:val="nil"/>
              <w:bottom w:val="single" w:sz="4" w:space="0" w:color="auto"/>
              <w:right w:val="nil"/>
            </w:tcBorders>
            <w:shd w:val="clear" w:color="auto" w:fill="auto"/>
            <w:vAlign w:val="center"/>
          </w:tcPr>
          <w:p w14:paraId="4C14E906" w14:textId="77777777" w:rsidR="00A76EC8" w:rsidRPr="00473334" w:rsidRDefault="00A76EC8" w:rsidP="00A76EC8">
            <w:pPr>
              <w:spacing w:after="0" w:line="240" w:lineRule="auto"/>
              <w:jc w:val="center"/>
              <w:rPr>
                <w:rFonts w:ascii="Arial" w:hAnsi="Arial" w:cs="Arial"/>
                <w:b/>
                <w:color w:val="000000"/>
                <w:szCs w:val="16"/>
              </w:rPr>
            </w:pPr>
            <w:r>
              <w:rPr>
                <w:rFonts w:ascii="Arial" w:hAnsi="Arial" w:cs="Arial"/>
                <w:b/>
                <w:color w:val="000000"/>
                <w:szCs w:val="16"/>
              </w:rPr>
              <w:t>EDPS</w:t>
            </w:r>
          </w:p>
        </w:tc>
        <w:tc>
          <w:tcPr>
            <w:tcW w:w="1530" w:type="dxa"/>
            <w:tcBorders>
              <w:left w:val="nil"/>
              <w:bottom w:val="single" w:sz="4" w:space="0" w:color="auto"/>
            </w:tcBorders>
            <w:shd w:val="clear" w:color="auto" w:fill="auto"/>
            <w:vAlign w:val="center"/>
          </w:tcPr>
          <w:p w14:paraId="593C63BE" w14:textId="77777777" w:rsidR="00A76EC8" w:rsidRPr="00473334" w:rsidRDefault="00A76EC8" w:rsidP="00A76EC8">
            <w:pPr>
              <w:spacing w:after="0" w:line="240" w:lineRule="auto"/>
              <w:jc w:val="center"/>
              <w:rPr>
                <w:rFonts w:ascii="Arial" w:hAnsi="Arial" w:cs="Arial"/>
                <w:b/>
                <w:color w:val="000000"/>
                <w:szCs w:val="16"/>
              </w:rPr>
            </w:pPr>
            <w:r w:rsidRPr="00473334">
              <w:rPr>
                <w:rFonts w:ascii="Arial" w:hAnsi="Arial" w:cs="Arial"/>
                <w:b/>
                <w:color w:val="000000"/>
                <w:szCs w:val="16"/>
              </w:rPr>
              <w:t xml:space="preserve">(All) </w:t>
            </w:r>
            <w:r>
              <w:rPr>
                <w:rFonts w:ascii="Arial" w:hAnsi="Arial" w:cs="Arial"/>
                <w:b/>
                <w:color w:val="000000"/>
                <w:szCs w:val="16"/>
              </w:rPr>
              <w:t>HPS</w:t>
            </w:r>
          </w:p>
        </w:tc>
        <w:tc>
          <w:tcPr>
            <w:tcW w:w="1620" w:type="dxa"/>
            <w:tcBorders>
              <w:bottom w:val="single" w:sz="4" w:space="0" w:color="auto"/>
            </w:tcBorders>
            <w:vAlign w:val="center"/>
          </w:tcPr>
          <w:p w14:paraId="7CCB64AF" w14:textId="77777777" w:rsidR="00A76EC8" w:rsidRPr="00473334" w:rsidRDefault="00A76EC8" w:rsidP="00A76EC8">
            <w:pPr>
              <w:spacing w:after="0" w:line="240" w:lineRule="auto"/>
              <w:jc w:val="center"/>
              <w:rPr>
                <w:rFonts w:ascii="Arial" w:hAnsi="Arial" w:cs="Arial"/>
                <w:b/>
                <w:color w:val="000000"/>
                <w:szCs w:val="16"/>
              </w:rPr>
            </w:pPr>
            <w:r>
              <w:rPr>
                <w:rFonts w:ascii="Arial" w:hAnsi="Arial" w:cs="Arial"/>
                <w:b/>
                <w:color w:val="000000"/>
                <w:szCs w:val="16"/>
              </w:rPr>
              <w:t>EDPS</w:t>
            </w:r>
          </w:p>
        </w:tc>
        <w:tc>
          <w:tcPr>
            <w:tcW w:w="1548" w:type="dxa"/>
            <w:tcBorders>
              <w:bottom w:val="single" w:sz="4" w:space="0" w:color="auto"/>
              <w:right w:val="single" w:sz="4" w:space="0" w:color="auto"/>
            </w:tcBorders>
            <w:vAlign w:val="center"/>
          </w:tcPr>
          <w:p w14:paraId="21E286A9" w14:textId="77777777" w:rsidR="00A76EC8" w:rsidRPr="00473334" w:rsidRDefault="00A76EC8" w:rsidP="00A76EC8">
            <w:pPr>
              <w:spacing w:after="0" w:line="240" w:lineRule="auto"/>
              <w:jc w:val="center"/>
              <w:rPr>
                <w:rFonts w:ascii="Arial" w:hAnsi="Arial" w:cs="Arial"/>
                <w:b/>
                <w:color w:val="000000"/>
                <w:szCs w:val="16"/>
              </w:rPr>
            </w:pPr>
            <w:r w:rsidRPr="00473334">
              <w:rPr>
                <w:rFonts w:ascii="Arial" w:hAnsi="Arial" w:cs="Arial"/>
                <w:b/>
                <w:color w:val="000000"/>
                <w:szCs w:val="16"/>
              </w:rPr>
              <w:t xml:space="preserve">(All) </w:t>
            </w:r>
            <w:r>
              <w:rPr>
                <w:rFonts w:ascii="Arial" w:hAnsi="Arial" w:cs="Arial"/>
                <w:b/>
                <w:color w:val="000000"/>
                <w:szCs w:val="16"/>
              </w:rPr>
              <w:t>HPS</w:t>
            </w:r>
          </w:p>
        </w:tc>
      </w:tr>
      <w:tr w:rsidR="00A76EC8" w:rsidRPr="00701584" w14:paraId="47C8B75B" w14:textId="77777777" w:rsidTr="00C148F7">
        <w:trPr>
          <w:trHeight w:val="86"/>
        </w:trPr>
        <w:tc>
          <w:tcPr>
            <w:tcW w:w="3258" w:type="dxa"/>
            <w:tcBorders>
              <w:top w:val="single" w:sz="4" w:space="0" w:color="auto"/>
              <w:left w:val="single" w:sz="4" w:space="0" w:color="auto"/>
              <w:bottom w:val="nil"/>
              <w:right w:val="single" w:sz="4" w:space="0" w:color="auto"/>
            </w:tcBorders>
            <w:shd w:val="clear" w:color="auto" w:fill="auto"/>
            <w:vAlign w:val="center"/>
          </w:tcPr>
          <w:p w14:paraId="71B97D81" w14:textId="77777777" w:rsidR="00A76EC8" w:rsidRPr="00DF7CD3" w:rsidRDefault="00A76EC8" w:rsidP="00A76EC8">
            <w:pPr>
              <w:spacing w:after="0"/>
              <w:rPr>
                <w:rFonts w:ascii="Arial" w:hAnsi="Arial" w:cs="Arial"/>
                <w:b/>
                <w:color w:val="000000"/>
                <w:sz w:val="20"/>
                <w:szCs w:val="16"/>
              </w:rPr>
            </w:pPr>
            <w:r>
              <w:rPr>
                <w:rFonts w:ascii="Arial" w:hAnsi="Arial" w:cs="Arial"/>
                <w:b/>
                <w:color w:val="000000"/>
                <w:sz w:val="20"/>
                <w:szCs w:val="16"/>
              </w:rPr>
              <w:t>N</w:t>
            </w:r>
          </w:p>
        </w:tc>
        <w:tc>
          <w:tcPr>
            <w:tcW w:w="1530" w:type="dxa"/>
            <w:tcBorders>
              <w:top w:val="single" w:sz="4" w:space="0" w:color="auto"/>
              <w:left w:val="single" w:sz="4" w:space="0" w:color="auto"/>
              <w:bottom w:val="nil"/>
              <w:right w:val="nil"/>
            </w:tcBorders>
            <w:shd w:val="clear" w:color="auto" w:fill="auto"/>
            <w:vAlign w:val="center"/>
          </w:tcPr>
          <w:p w14:paraId="7410B539" w14:textId="77777777" w:rsidR="00A76EC8" w:rsidRPr="00DF7CD3" w:rsidRDefault="00A76EC8" w:rsidP="00A76EC8">
            <w:pPr>
              <w:spacing w:after="0"/>
              <w:ind w:left="-126" w:right="-90"/>
              <w:jc w:val="center"/>
              <w:rPr>
                <w:rFonts w:ascii="Arial" w:hAnsi="Arial" w:cs="Arial"/>
                <w:color w:val="000000"/>
                <w:sz w:val="20"/>
                <w:szCs w:val="16"/>
              </w:rPr>
            </w:pPr>
            <w:r w:rsidRPr="009E79EE">
              <w:rPr>
                <w:rFonts w:ascii="Arial" w:hAnsi="Arial" w:cs="Arial"/>
                <w:b/>
                <w:color w:val="000000"/>
                <w:sz w:val="20"/>
                <w:szCs w:val="16"/>
              </w:rPr>
              <w:t>11,182</w:t>
            </w:r>
          </w:p>
        </w:tc>
        <w:tc>
          <w:tcPr>
            <w:tcW w:w="1530" w:type="dxa"/>
            <w:tcBorders>
              <w:top w:val="single" w:sz="4" w:space="0" w:color="auto"/>
              <w:left w:val="nil"/>
              <w:bottom w:val="nil"/>
              <w:right w:val="nil"/>
            </w:tcBorders>
            <w:shd w:val="clear" w:color="auto" w:fill="auto"/>
            <w:vAlign w:val="center"/>
          </w:tcPr>
          <w:p w14:paraId="4005332F" w14:textId="77777777" w:rsidR="00A76EC8" w:rsidRPr="00DF7CD3" w:rsidRDefault="00A76EC8" w:rsidP="00A76EC8">
            <w:pPr>
              <w:spacing w:after="0"/>
              <w:ind w:left="-126" w:right="-90"/>
              <w:jc w:val="center"/>
              <w:rPr>
                <w:rFonts w:ascii="Arial" w:hAnsi="Arial" w:cs="Arial"/>
                <w:color w:val="000000"/>
                <w:sz w:val="20"/>
                <w:szCs w:val="16"/>
              </w:rPr>
            </w:pPr>
            <w:r w:rsidRPr="009E79EE">
              <w:rPr>
                <w:rFonts w:ascii="Arial" w:hAnsi="Arial" w:cs="Arial"/>
                <w:b/>
                <w:color w:val="000000"/>
                <w:sz w:val="20"/>
                <w:szCs w:val="16"/>
              </w:rPr>
              <w:t>8,673 (77.6%)</w:t>
            </w:r>
          </w:p>
        </w:tc>
        <w:tc>
          <w:tcPr>
            <w:tcW w:w="1530" w:type="dxa"/>
            <w:tcBorders>
              <w:top w:val="single" w:sz="4" w:space="0" w:color="auto"/>
              <w:left w:val="nil"/>
              <w:bottom w:val="nil"/>
              <w:right w:val="single" w:sz="4" w:space="0" w:color="auto"/>
            </w:tcBorders>
            <w:shd w:val="clear" w:color="auto" w:fill="auto"/>
            <w:vAlign w:val="center"/>
          </w:tcPr>
          <w:p w14:paraId="22896612" w14:textId="77777777" w:rsidR="00A76EC8" w:rsidRPr="00DF7CD3" w:rsidRDefault="00A76EC8" w:rsidP="00A76EC8">
            <w:pPr>
              <w:spacing w:after="0"/>
              <w:ind w:left="-126" w:right="-90"/>
              <w:jc w:val="center"/>
              <w:rPr>
                <w:rFonts w:ascii="Arial" w:hAnsi="Arial" w:cs="Arial"/>
                <w:color w:val="000000"/>
                <w:sz w:val="20"/>
                <w:szCs w:val="16"/>
              </w:rPr>
            </w:pPr>
            <w:r w:rsidRPr="009E79EE">
              <w:rPr>
                <w:rFonts w:ascii="Arial" w:hAnsi="Arial" w:cs="Arial"/>
                <w:b/>
                <w:color w:val="000000"/>
                <w:sz w:val="20"/>
                <w:szCs w:val="16"/>
              </w:rPr>
              <w:t>2,509 (22.4%)</w:t>
            </w:r>
          </w:p>
        </w:tc>
        <w:tc>
          <w:tcPr>
            <w:tcW w:w="1620" w:type="dxa"/>
            <w:tcBorders>
              <w:top w:val="single" w:sz="4" w:space="0" w:color="auto"/>
              <w:left w:val="nil"/>
              <w:bottom w:val="nil"/>
            </w:tcBorders>
            <w:vAlign w:val="center"/>
          </w:tcPr>
          <w:p w14:paraId="0C1D8BC5" w14:textId="77777777" w:rsidR="00A76EC8" w:rsidRPr="00DF7CD3" w:rsidRDefault="00A76EC8" w:rsidP="00A76EC8">
            <w:pPr>
              <w:spacing w:after="0"/>
              <w:ind w:left="-126" w:right="-90"/>
              <w:jc w:val="center"/>
              <w:rPr>
                <w:rFonts w:ascii="Arial" w:hAnsi="Arial" w:cs="Arial"/>
                <w:color w:val="000000"/>
                <w:sz w:val="20"/>
                <w:szCs w:val="16"/>
              </w:rPr>
            </w:pPr>
            <w:r w:rsidRPr="009E79EE">
              <w:rPr>
                <w:rFonts w:ascii="Arial" w:hAnsi="Arial" w:cs="Arial"/>
                <w:b/>
                <w:color w:val="000000"/>
                <w:sz w:val="20"/>
                <w:szCs w:val="20"/>
              </w:rPr>
              <w:t>1,942 (50</w:t>
            </w:r>
            <w:r>
              <w:rPr>
                <w:rFonts w:ascii="Arial" w:hAnsi="Arial" w:cs="Arial"/>
                <w:b/>
                <w:color w:val="000000"/>
                <w:sz w:val="20"/>
                <w:szCs w:val="20"/>
              </w:rPr>
              <w:t>.0</w:t>
            </w:r>
            <w:r w:rsidRPr="009E79EE">
              <w:rPr>
                <w:rFonts w:ascii="Arial" w:hAnsi="Arial" w:cs="Arial"/>
                <w:b/>
                <w:color w:val="000000"/>
                <w:sz w:val="20"/>
                <w:szCs w:val="20"/>
              </w:rPr>
              <w:t>%)</w:t>
            </w:r>
          </w:p>
        </w:tc>
        <w:tc>
          <w:tcPr>
            <w:tcW w:w="1548" w:type="dxa"/>
            <w:tcBorders>
              <w:top w:val="single" w:sz="4" w:space="0" w:color="auto"/>
              <w:bottom w:val="nil"/>
              <w:right w:val="single" w:sz="4" w:space="0" w:color="auto"/>
            </w:tcBorders>
            <w:vAlign w:val="center"/>
          </w:tcPr>
          <w:p w14:paraId="6487C620" w14:textId="77777777" w:rsidR="00A76EC8" w:rsidRPr="00DF7CD3" w:rsidRDefault="00A76EC8" w:rsidP="00A76EC8">
            <w:pPr>
              <w:spacing w:after="0"/>
              <w:ind w:left="-126" w:right="-90"/>
              <w:jc w:val="center"/>
              <w:rPr>
                <w:rFonts w:ascii="Arial" w:hAnsi="Arial" w:cs="Arial"/>
                <w:color w:val="000000"/>
                <w:sz w:val="20"/>
                <w:szCs w:val="16"/>
              </w:rPr>
            </w:pPr>
            <w:r w:rsidRPr="009E79EE">
              <w:rPr>
                <w:rFonts w:ascii="Arial" w:hAnsi="Arial" w:cs="Arial"/>
                <w:b/>
                <w:color w:val="000000"/>
                <w:sz w:val="20"/>
                <w:szCs w:val="20"/>
              </w:rPr>
              <w:t>1,942 (50</w:t>
            </w:r>
            <w:r>
              <w:rPr>
                <w:rFonts w:ascii="Arial" w:hAnsi="Arial" w:cs="Arial"/>
                <w:b/>
                <w:color w:val="000000"/>
                <w:sz w:val="20"/>
                <w:szCs w:val="20"/>
              </w:rPr>
              <w:t>.0</w:t>
            </w:r>
            <w:r w:rsidRPr="009E79EE">
              <w:rPr>
                <w:rFonts w:ascii="Arial" w:hAnsi="Arial" w:cs="Arial"/>
                <w:b/>
                <w:color w:val="000000"/>
                <w:sz w:val="20"/>
                <w:szCs w:val="20"/>
              </w:rPr>
              <w:t>%)</w:t>
            </w:r>
          </w:p>
        </w:tc>
      </w:tr>
      <w:tr w:rsidR="00A76EC8" w:rsidRPr="00701584" w14:paraId="6306DD89" w14:textId="77777777" w:rsidTr="00C148F7">
        <w:trPr>
          <w:trHeight w:val="96"/>
        </w:trPr>
        <w:tc>
          <w:tcPr>
            <w:tcW w:w="3258" w:type="dxa"/>
            <w:tcBorders>
              <w:top w:val="nil"/>
              <w:left w:val="single" w:sz="4" w:space="0" w:color="auto"/>
              <w:bottom w:val="nil"/>
              <w:right w:val="single" w:sz="4" w:space="0" w:color="auto"/>
            </w:tcBorders>
            <w:shd w:val="clear" w:color="auto" w:fill="auto"/>
            <w:vAlign w:val="center"/>
            <w:hideMark/>
          </w:tcPr>
          <w:p w14:paraId="7A2EEFF4" w14:textId="77777777" w:rsidR="00A76EC8" w:rsidRPr="009E79EE" w:rsidRDefault="00A76EC8" w:rsidP="00A76EC8">
            <w:pPr>
              <w:spacing w:after="0"/>
              <w:rPr>
                <w:rFonts w:ascii="Arial" w:hAnsi="Arial" w:cs="Arial"/>
                <w:b/>
                <w:color w:val="000000"/>
                <w:sz w:val="20"/>
                <w:szCs w:val="16"/>
              </w:rPr>
            </w:pPr>
            <w:r>
              <w:rPr>
                <w:rFonts w:ascii="Arial" w:hAnsi="Arial" w:cs="Arial"/>
                <w:b/>
                <w:color w:val="000000"/>
                <w:sz w:val="20"/>
                <w:szCs w:val="16"/>
              </w:rPr>
              <w:t>Demographics</w:t>
            </w:r>
          </w:p>
        </w:tc>
        <w:tc>
          <w:tcPr>
            <w:tcW w:w="1530" w:type="dxa"/>
            <w:tcBorders>
              <w:top w:val="nil"/>
              <w:left w:val="single" w:sz="4" w:space="0" w:color="auto"/>
              <w:bottom w:val="nil"/>
              <w:right w:val="nil"/>
            </w:tcBorders>
            <w:shd w:val="clear" w:color="auto" w:fill="auto"/>
            <w:vAlign w:val="center"/>
          </w:tcPr>
          <w:p w14:paraId="75B851EF" w14:textId="77777777" w:rsidR="00A76EC8" w:rsidRPr="009E79EE" w:rsidRDefault="00A76EC8" w:rsidP="00A76EC8">
            <w:pPr>
              <w:spacing w:after="0"/>
              <w:ind w:left="-126" w:right="-90"/>
              <w:jc w:val="center"/>
              <w:rPr>
                <w:rFonts w:ascii="Arial" w:hAnsi="Arial" w:cs="Arial"/>
                <w:b/>
                <w:color w:val="000000"/>
                <w:sz w:val="20"/>
                <w:szCs w:val="16"/>
              </w:rPr>
            </w:pPr>
          </w:p>
        </w:tc>
        <w:tc>
          <w:tcPr>
            <w:tcW w:w="1530" w:type="dxa"/>
            <w:tcBorders>
              <w:top w:val="nil"/>
              <w:left w:val="nil"/>
              <w:bottom w:val="nil"/>
              <w:right w:val="nil"/>
            </w:tcBorders>
            <w:shd w:val="clear" w:color="auto" w:fill="auto"/>
            <w:vAlign w:val="center"/>
          </w:tcPr>
          <w:p w14:paraId="3B2C260D" w14:textId="77777777" w:rsidR="00A76EC8" w:rsidRPr="009E79EE" w:rsidRDefault="00A76EC8" w:rsidP="00A76EC8">
            <w:pPr>
              <w:spacing w:after="0"/>
              <w:ind w:left="-126" w:right="-90"/>
              <w:jc w:val="center"/>
              <w:rPr>
                <w:rFonts w:ascii="Arial" w:hAnsi="Arial" w:cs="Arial"/>
                <w:b/>
                <w:color w:val="000000"/>
                <w:sz w:val="20"/>
                <w:szCs w:val="16"/>
              </w:rPr>
            </w:pPr>
          </w:p>
        </w:tc>
        <w:tc>
          <w:tcPr>
            <w:tcW w:w="1530" w:type="dxa"/>
            <w:tcBorders>
              <w:top w:val="nil"/>
              <w:left w:val="nil"/>
              <w:bottom w:val="nil"/>
              <w:right w:val="single" w:sz="4" w:space="0" w:color="auto"/>
            </w:tcBorders>
            <w:shd w:val="clear" w:color="auto" w:fill="auto"/>
            <w:vAlign w:val="center"/>
          </w:tcPr>
          <w:p w14:paraId="27BC8DAD" w14:textId="77777777" w:rsidR="00A76EC8" w:rsidRPr="009E79EE" w:rsidRDefault="00A76EC8" w:rsidP="00A76EC8">
            <w:pPr>
              <w:spacing w:after="0"/>
              <w:ind w:left="-126" w:right="-90"/>
              <w:jc w:val="center"/>
              <w:rPr>
                <w:rFonts w:ascii="Arial" w:hAnsi="Arial" w:cs="Arial"/>
                <w:b/>
                <w:color w:val="000000"/>
                <w:sz w:val="20"/>
                <w:szCs w:val="16"/>
              </w:rPr>
            </w:pPr>
          </w:p>
        </w:tc>
        <w:tc>
          <w:tcPr>
            <w:tcW w:w="1620" w:type="dxa"/>
            <w:tcBorders>
              <w:top w:val="nil"/>
              <w:left w:val="nil"/>
              <w:bottom w:val="nil"/>
            </w:tcBorders>
            <w:vAlign w:val="center"/>
          </w:tcPr>
          <w:p w14:paraId="0793EE3B" w14:textId="77777777" w:rsidR="00A76EC8" w:rsidRPr="009E79EE" w:rsidRDefault="00A76EC8" w:rsidP="00A76EC8">
            <w:pPr>
              <w:spacing w:after="0"/>
              <w:ind w:left="-126" w:right="-90"/>
              <w:jc w:val="center"/>
              <w:rPr>
                <w:rFonts w:ascii="Arial" w:hAnsi="Arial" w:cs="Arial"/>
                <w:b/>
                <w:color w:val="000000"/>
                <w:sz w:val="20"/>
                <w:szCs w:val="20"/>
              </w:rPr>
            </w:pPr>
          </w:p>
        </w:tc>
        <w:tc>
          <w:tcPr>
            <w:tcW w:w="1548" w:type="dxa"/>
            <w:tcBorders>
              <w:top w:val="nil"/>
              <w:bottom w:val="nil"/>
              <w:right w:val="single" w:sz="4" w:space="0" w:color="auto"/>
            </w:tcBorders>
            <w:vAlign w:val="center"/>
          </w:tcPr>
          <w:p w14:paraId="512712BE" w14:textId="77777777" w:rsidR="00A76EC8" w:rsidRPr="009E79EE" w:rsidRDefault="00A76EC8" w:rsidP="00A76EC8">
            <w:pPr>
              <w:spacing w:after="0"/>
              <w:ind w:left="-126" w:right="-90"/>
              <w:jc w:val="center"/>
              <w:rPr>
                <w:rFonts w:ascii="Arial" w:hAnsi="Arial" w:cs="Arial"/>
                <w:b/>
                <w:color w:val="000000"/>
                <w:sz w:val="20"/>
                <w:szCs w:val="20"/>
              </w:rPr>
            </w:pPr>
          </w:p>
        </w:tc>
      </w:tr>
      <w:tr w:rsidR="00A76EC8" w:rsidRPr="00701584" w14:paraId="0EB592D9"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196DBACC"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Age</w:t>
            </w:r>
            <w:r>
              <w:rPr>
                <w:rFonts w:ascii="Arial" w:hAnsi="Arial" w:cs="Arial"/>
                <w:color w:val="000000"/>
                <w:sz w:val="20"/>
                <w:szCs w:val="16"/>
              </w:rPr>
              <w:t>* - median</w:t>
            </w:r>
            <w:r w:rsidRPr="00DF7CD3">
              <w:rPr>
                <w:rFonts w:ascii="Arial" w:hAnsi="Arial" w:cs="Arial"/>
                <w:color w:val="000000"/>
                <w:sz w:val="20"/>
                <w:szCs w:val="16"/>
              </w:rPr>
              <w:t>(IQR)</w:t>
            </w:r>
          </w:p>
        </w:tc>
        <w:tc>
          <w:tcPr>
            <w:tcW w:w="1530" w:type="dxa"/>
            <w:tcBorders>
              <w:top w:val="nil"/>
              <w:left w:val="single" w:sz="4" w:space="0" w:color="auto"/>
              <w:bottom w:val="nil"/>
              <w:right w:val="nil"/>
            </w:tcBorders>
            <w:shd w:val="clear" w:color="auto" w:fill="auto"/>
            <w:vAlign w:val="center"/>
            <w:hideMark/>
          </w:tcPr>
          <w:p w14:paraId="21A3D869" w14:textId="77777777" w:rsidR="00A76EC8" w:rsidRPr="00DF7CD3" w:rsidRDefault="00A76EC8" w:rsidP="00A76EC8">
            <w:pPr>
              <w:spacing w:after="0"/>
              <w:ind w:left="-126" w:right="-90"/>
              <w:jc w:val="center"/>
              <w:rPr>
                <w:rFonts w:ascii="Arial" w:hAnsi="Arial" w:cs="Arial"/>
                <w:sz w:val="20"/>
                <w:szCs w:val="16"/>
              </w:rPr>
            </w:pPr>
            <w:r w:rsidRPr="00DF7CD3">
              <w:rPr>
                <w:rFonts w:ascii="Arial" w:hAnsi="Arial" w:cs="Arial"/>
                <w:sz w:val="20"/>
                <w:szCs w:val="16"/>
              </w:rPr>
              <w:t>74 (62, 85)</w:t>
            </w:r>
          </w:p>
        </w:tc>
        <w:tc>
          <w:tcPr>
            <w:tcW w:w="1530" w:type="dxa"/>
            <w:tcBorders>
              <w:top w:val="nil"/>
              <w:left w:val="nil"/>
              <w:bottom w:val="nil"/>
              <w:right w:val="nil"/>
            </w:tcBorders>
            <w:shd w:val="clear" w:color="auto" w:fill="auto"/>
            <w:vAlign w:val="center"/>
            <w:hideMark/>
          </w:tcPr>
          <w:p w14:paraId="25B205BE" w14:textId="77777777" w:rsidR="00A76EC8" w:rsidRPr="00DF7CD3" w:rsidRDefault="00A76EC8" w:rsidP="00A76EC8">
            <w:pPr>
              <w:spacing w:after="0"/>
              <w:ind w:left="-126" w:right="-90"/>
              <w:jc w:val="center"/>
              <w:rPr>
                <w:rFonts w:ascii="Arial" w:hAnsi="Arial" w:cs="Arial"/>
                <w:sz w:val="20"/>
                <w:szCs w:val="16"/>
              </w:rPr>
            </w:pPr>
            <w:r w:rsidRPr="00DF7CD3">
              <w:rPr>
                <w:rFonts w:ascii="Arial" w:hAnsi="Arial" w:cs="Arial"/>
                <w:sz w:val="20"/>
                <w:szCs w:val="16"/>
              </w:rPr>
              <w:t>75 (62, 85)</w:t>
            </w:r>
          </w:p>
        </w:tc>
        <w:tc>
          <w:tcPr>
            <w:tcW w:w="1530" w:type="dxa"/>
            <w:tcBorders>
              <w:top w:val="nil"/>
              <w:left w:val="nil"/>
              <w:bottom w:val="nil"/>
              <w:right w:val="single" w:sz="4" w:space="0" w:color="auto"/>
            </w:tcBorders>
            <w:shd w:val="clear" w:color="auto" w:fill="auto"/>
            <w:vAlign w:val="center"/>
            <w:hideMark/>
          </w:tcPr>
          <w:p w14:paraId="39931C72" w14:textId="77777777" w:rsidR="00A76EC8" w:rsidRPr="00DF7CD3" w:rsidRDefault="00A76EC8" w:rsidP="00A76EC8">
            <w:pPr>
              <w:spacing w:after="0"/>
              <w:ind w:left="-126" w:right="-90"/>
              <w:jc w:val="center"/>
              <w:rPr>
                <w:rFonts w:ascii="Arial" w:hAnsi="Arial" w:cs="Arial"/>
                <w:sz w:val="20"/>
                <w:szCs w:val="16"/>
              </w:rPr>
            </w:pPr>
            <w:r w:rsidRPr="00DF7CD3">
              <w:rPr>
                <w:rFonts w:ascii="Arial" w:hAnsi="Arial" w:cs="Arial"/>
                <w:sz w:val="20"/>
                <w:szCs w:val="16"/>
              </w:rPr>
              <w:t>73 (62, 83)</w:t>
            </w:r>
          </w:p>
        </w:tc>
        <w:tc>
          <w:tcPr>
            <w:tcW w:w="1620" w:type="dxa"/>
            <w:tcBorders>
              <w:top w:val="nil"/>
              <w:left w:val="nil"/>
              <w:bottom w:val="nil"/>
            </w:tcBorders>
            <w:vAlign w:val="center"/>
          </w:tcPr>
          <w:p w14:paraId="5BB713C2"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73 (61-84)</w:t>
            </w:r>
          </w:p>
        </w:tc>
        <w:tc>
          <w:tcPr>
            <w:tcW w:w="1548" w:type="dxa"/>
            <w:tcBorders>
              <w:top w:val="nil"/>
              <w:bottom w:val="nil"/>
              <w:right w:val="single" w:sz="4" w:space="0" w:color="auto"/>
            </w:tcBorders>
            <w:vAlign w:val="center"/>
          </w:tcPr>
          <w:p w14:paraId="197DEB38"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74 (62-84)</w:t>
            </w:r>
          </w:p>
        </w:tc>
      </w:tr>
      <w:tr w:rsidR="00A76EC8" w:rsidRPr="00701584" w14:paraId="30AAC5C4"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66CF3797"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Male Sex</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369494D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5,740 (51.3%)</w:t>
            </w:r>
          </w:p>
        </w:tc>
        <w:tc>
          <w:tcPr>
            <w:tcW w:w="1530" w:type="dxa"/>
            <w:tcBorders>
              <w:top w:val="nil"/>
              <w:left w:val="nil"/>
              <w:bottom w:val="nil"/>
              <w:right w:val="nil"/>
            </w:tcBorders>
            <w:shd w:val="clear" w:color="auto" w:fill="auto"/>
            <w:vAlign w:val="center"/>
            <w:hideMark/>
          </w:tcPr>
          <w:p w14:paraId="7D1FC988"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4,436 (51.1%)</w:t>
            </w:r>
          </w:p>
        </w:tc>
        <w:tc>
          <w:tcPr>
            <w:tcW w:w="1530" w:type="dxa"/>
            <w:tcBorders>
              <w:top w:val="nil"/>
              <w:left w:val="nil"/>
              <w:bottom w:val="nil"/>
              <w:right w:val="single" w:sz="4" w:space="0" w:color="auto"/>
            </w:tcBorders>
            <w:shd w:val="clear" w:color="auto" w:fill="auto"/>
            <w:vAlign w:val="center"/>
            <w:hideMark/>
          </w:tcPr>
          <w:p w14:paraId="47837226"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1,304 (52.0%)</w:t>
            </w:r>
          </w:p>
        </w:tc>
        <w:tc>
          <w:tcPr>
            <w:tcW w:w="1620" w:type="dxa"/>
            <w:tcBorders>
              <w:top w:val="nil"/>
              <w:left w:val="nil"/>
              <w:bottom w:val="nil"/>
            </w:tcBorders>
            <w:vAlign w:val="center"/>
          </w:tcPr>
          <w:p w14:paraId="18BEEC81"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1,025, (52.8%)</w:t>
            </w:r>
          </w:p>
        </w:tc>
        <w:tc>
          <w:tcPr>
            <w:tcW w:w="1548" w:type="dxa"/>
            <w:tcBorders>
              <w:top w:val="nil"/>
              <w:bottom w:val="nil"/>
              <w:right w:val="single" w:sz="4" w:space="0" w:color="auto"/>
            </w:tcBorders>
            <w:vAlign w:val="center"/>
          </w:tcPr>
          <w:p w14:paraId="6F83DC63"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1,021, (52.6%)</w:t>
            </w:r>
          </w:p>
        </w:tc>
      </w:tr>
      <w:tr w:rsidR="00A76EC8" w:rsidRPr="00701584" w14:paraId="13AEDC9A"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2271B72A"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Tertiary Care Hospital</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7F8C7A41"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8,069 (72%)</w:t>
            </w:r>
          </w:p>
        </w:tc>
        <w:tc>
          <w:tcPr>
            <w:tcW w:w="1530" w:type="dxa"/>
            <w:tcBorders>
              <w:top w:val="nil"/>
              <w:left w:val="nil"/>
              <w:bottom w:val="nil"/>
              <w:right w:val="nil"/>
            </w:tcBorders>
            <w:shd w:val="clear" w:color="auto" w:fill="auto"/>
            <w:vAlign w:val="center"/>
            <w:hideMark/>
          </w:tcPr>
          <w:p w14:paraId="4B3B121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6,171 (71%)</w:t>
            </w:r>
          </w:p>
        </w:tc>
        <w:tc>
          <w:tcPr>
            <w:tcW w:w="1530" w:type="dxa"/>
            <w:tcBorders>
              <w:top w:val="nil"/>
              <w:left w:val="nil"/>
              <w:bottom w:val="nil"/>
              <w:right w:val="single" w:sz="4" w:space="0" w:color="auto"/>
            </w:tcBorders>
            <w:shd w:val="clear" w:color="auto" w:fill="auto"/>
            <w:vAlign w:val="center"/>
            <w:hideMark/>
          </w:tcPr>
          <w:p w14:paraId="3430D2C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1,898 (76%)</w:t>
            </w:r>
          </w:p>
        </w:tc>
        <w:tc>
          <w:tcPr>
            <w:tcW w:w="1620" w:type="dxa"/>
            <w:tcBorders>
              <w:top w:val="nil"/>
              <w:left w:val="nil"/>
              <w:bottom w:val="nil"/>
            </w:tcBorders>
            <w:vAlign w:val="center"/>
          </w:tcPr>
          <w:p w14:paraId="50138D90"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1,441 (74.2%)</w:t>
            </w:r>
          </w:p>
        </w:tc>
        <w:tc>
          <w:tcPr>
            <w:tcW w:w="1548" w:type="dxa"/>
            <w:tcBorders>
              <w:top w:val="nil"/>
              <w:bottom w:val="nil"/>
              <w:right w:val="single" w:sz="4" w:space="0" w:color="auto"/>
            </w:tcBorders>
            <w:vAlign w:val="center"/>
          </w:tcPr>
          <w:p w14:paraId="192AA2A9"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1,451 (74.7%)</w:t>
            </w:r>
          </w:p>
        </w:tc>
      </w:tr>
      <w:tr w:rsidR="00A76EC8" w:rsidRPr="00701584" w14:paraId="61FC4048"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3651C40E" w14:textId="77777777" w:rsidR="00A76EC8" w:rsidRPr="00DF7CD3" w:rsidRDefault="00A76EC8" w:rsidP="00A76EC8">
            <w:pPr>
              <w:spacing w:after="0"/>
              <w:rPr>
                <w:rFonts w:ascii="Arial" w:hAnsi="Arial" w:cs="Arial"/>
                <w:color w:val="000000"/>
                <w:sz w:val="20"/>
                <w:szCs w:val="16"/>
              </w:rPr>
            </w:pPr>
            <w:r>
              <w:rPr>
                <w:rFonts w:ascii="Arial" w:hAnsi="Arial" w:cs="Arial"/>
                <w:color w:val="000000"/>
                <w:sz w:val="20"/>
                <w:szCs w:val="16"/>
              </w:rPr>
              <w:t xml:space="preserve">Body Mass Index </w:t>
            </w:r>
          </w:p>
        </w:tc>
        <w:tc>
          <w:tcPr>
            <w:tcW w:w="1530" w:type="dxa"/>
            <w:tcBorders>
              <w:top w:val="nil"/>
              <w:left w:val="single" w:sz="4" w:space="0" w:color="auto"/>
              <w:bottom w:val="nil"/>
              <w:right w:val="nil"/>
            </w:tcBorders>
            <w:shd w:val="clear" w:color="auto" w:fill="auto"/>
            <w:vAlign w:val="center"/>
          </w:tcPr>
          <w:p w14:paraId="79DB2B31"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27.1 (7.0)</w:t>
            </w:r>
          </w:p>
        </w:tc>
        <w:tc>
          <w:tcPr>
            <w:tcW w:w="1530" w:type="dxa"/>
            <w:tcBorders>
              <w:top w:val="nil"/>
              <w:left w:val="nil"/>
              <w:bottom w:val="nil"/>
              <w:right w:val="nil"/>
            </w:tcBorders>
            <w:shd w:val="clear" w:color="auto" w:fill="auto"/>
            <w:vAlign w:val="center"/>
          </w:tcPr>
          <w:p w14:paraId="6814FC65"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26.9 (7.0)</w:t>
            </w:r>
          </w:p>
        </w:tc>
        <w:tc>
          <w:tcPr>
            <w:tcW w:w="1530" w:type="dxa"/>
            <w:tcBorders>
              <w:top w:val="nil"/>
              <w:left w:val="nil"/>
              <w:bottom w:val="nil"/>
              <w:right w:val="single" w:sz="4" w:space="0" w:color="auto"/>
            </w:tcBorders>
            <w:shd w:val="clear" w:color="auto" w:fill="auto"/>
            <w:vAlign w:val="center"/>
          </w:tcPr>
          <w:p w14:paraId="0823A9CD"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27.5 (7.0)</w:t>
            </w:r>
          </w:p>
        </w:tc>
        <w:tc>
          <w:tcPr>
            <w:tcW w:w="1620" w:type="dxa"/>
            <w:tcBorders>
              <w:top w:val="nil"/>
              <w:left w:val="nil"/>
              <w:bottom w:val="nil"/>
            </w:tcBorders>
            <w:vAlign w:val="center"/>
          </w:tcPr>
          <w:p w14:paraId="5B35E1A8"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26.9 (7.0)</w:t>
            </w:r>
          </w:p>
        </w:tc>
        <w:tc>
          <w:tcPr>
            <w:tcW w:w="1548" w:type="dxa"/>
            <w:tcBorders>
              <w:top w:val="nil"/>
              <w:bottom w:val="nil"/>
              <w:right w:val="single" w:sz="4" w:space="0" w:color="auto"/>
            </w:tcBorders>
            <w:vAlign w:val="center"/>
          </w:tcPr>
          <w:p w14:paraId="3D1ECF1C"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27.5 (7.0)</w:t>
            </w:r>
          </w:p>
        </w:tc>
      </w:tr>
      <w:tr w:rsidR="00A76EC8" w:rsidRPr="00701584" w14:paraId="339DC159"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253B0591" w14:textId="77777777" w:rsidR="00A76EC8" w:rsidRPr="00DF7CD3" w:rsidRDefault="00A76EC8" w:rsidP="00A76EC8">
            <w:pPr>
              <w:spacing w:after="0"/>
              <w:rPr>
                <w:rFonts w:ascii="Arial" w:hAnsi="Arial" w:cs="Arial"/>
                <w:bCs/>
                <w:color w:val="000000"/>
                <w:sz w:val="20"/>
                <w:szCs w:val="16"/>
              </w:rPr>
            </w:pPr>
            <w:r>
              <w:rPr>
                <w:rFonts w:ascii="Arial" w:hAnsi="Arial" w:cs="Arial"/>
                <w:bCs/>
                <w:color w:val="000000"/>
                <w:sz w:val="20"/>
                <w:szCs w:val="16"/>
              </w:rPr>
              <w:t>Admitted from a SNF</w:t>
            </w:r>
          </w:p>
        </w:tc>
        <w:tc>
          <w:tcPr>
            <w:tcW w:w="1530" w:type="dxa"/>
            <w:tcBorders>
              <w:top w:val="nil"/>
              <w:left w:val="single" w:sz="4" w:space="0" w:color="auto"/>
              <w:bottom w:val="nil"/>
              <w:right w:val="nil"/>
            </w:tcBorders>
            <w:shd w:val="clear" w:color="auto" w:fill="auto"/>
            <w:vAlign w:val="center"/>
          </w:tcPr>
          <w:p w14:paraId="6451455E" w14:textId="77777777" w:rsidR="00A76EC8" w:rsidRPr="00E75DF5" w:rsidRDefault="00A76EC8" w:rsidP="00A76EC8">
            <w:pPr>
              <w:spacing w:after="0"/>
              <w:ind w:left="-126" w:right="-90"/>
              <w:jc w:val="center"/>
              <w:rPr>
                <w:rFonts w:ascii="Arial" w:hAnsi="Arial" w:cs="Arial"/>
                <w:bCs/>
                <w:color w:val="000000"/>
                <w:sz w:val="20"/>
                <w:szCs w:val="16"/>
              </w:rPr>
            </w:pPr>
            <w:r w:rsidRPr="00E75DF5">
              <w:rPr>
                <w:rFonts w:ascii="Arial" w:hAnsi="Arial" w:cs="Arial"/>
                <w:bCs/>
                <w:color w:val="000000"/>
                <w:sz w:val="20"/>
                <w:szCs w:val="16"/>
              </w:rPr>
              <w:t>2,477</w:t>
            </w:r>
            <w:r>
              <w:rPr>
                <w:rFonts w:ascii="Arial" w:hAnsi="Arial" w:cs="Arial"/>
                <w:bCs/>
                <w:color w:val="000000"/>
                <w:sz w:val="20"/>
                <w:szCs w:val="16"/>
              </w:rPr>
              <w:t xml:space="preserve"> (22.2%)</w:t>
            </w:r>
          </w:p>
        </w:tc>
        <w:tc>
          <w:tcPr>
            <w:tcW w:w="1530" w:type="dxa"/>
            <w:tcBorders>
              <w:top w:val="nil"/>
              <w:left w:val="nil"/>
              <w:bottom w:val="nil"/>
              <w:right w:val="nil"/>
            </w:tcBorders>
            <w:shd w:val="clear" w:color="auto" w:fill="auto"/>
            <w:noWrap/>
            <w:vAlign w:val="center"/>
          </w:tcPr>
          <w:p w14:paraId="1CDF221C"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2,211 (24.5%)</w:t>
            </w:r>
          </w:p>
        </w:tc>
        <w:tc>
          <w:tcPr>
            <w:tcW w:w="1530" w:type="dxa"/>
            <w:tcBorders>
              <w:top w:val="nil"/>
              <w:left w:val="nil"/>
              <w:bottom w:val="nil"/>
              <w:right w:val="single" w:sz="4" w:space="0" w:color="auto"/>
            </w:tcBorders>
            <w:shd w:val="clear" w:color="auto" w:fill="auto"/>
            <w:vAlign w:val="center"/>
          </w:tcPr>
          <w:p w14:paraId="372C426C"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356 (14.2%)</w:t>
            </w:r>
          </w:p>
        </w:tc>
        <w:tc>
          <w:tcPr>
            <w:tcW w:w="1620" w:type="dxa"/>
            <w:tcBorders>
              <w:top w:val="nil"/>
              <w:left w:val="nil"/>
              <w:bottom w:val="nil"/>
            </w:tcBorders>
            <w:vAlign w:val="center"/>
          </w:tcPr>
          <w:p w14:paraId="37FCF031"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488 (25.1%)</w:t>
            </w:r>
          </w:p>
        </w:tc>
        <w:tc>
          <w:tcPr>
            <w:tcW w:w="1548" w:type="dxa"/>
            <w:tcBorders>
              <w:top w:val="nil"/>
              <w:bottom w:val="nil"/>
              <w:right w:val="single" w:sz="4" w:space="0" w:color="auto"/>
            </w:tcBorders>
            <w:vAlign w:val="center"/>
          </w:tcPr>
          <w:p w14:paraId="7D976229"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268 (13.8%)</w:t>
            </w:r>
          </w:p>
        </w:tc>
      </w:tr>
      <w:tr w:rsidR="00A76EC8" w:rsidRPr="00701584" w14:paraId="1844954F"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460F2FF3" w14:textId="77777777" w:rsidR="00A76EC8" w:rsidRPr="00DF7CD3" w:rsidRDefault="00A76EC8" w:rsidP="00A76EC8">
            <w:pPr>
              <w:spacing w:after="0"/>
              <w:rPr>
                <w:rFonts w:ascii="Arial" w:hAnsi="Arial" w:cs="Arial"/>
                <w:b/>
                <w:color w:val="000000"/>
                <w:sz w:val="20"/>
                <w:szCs w:val="16"/>
              </w:rPr>
            </w:pPr>
            <w:proofErr w:type="spellStart"/>
            <w:r w:rsidRPr="00DF7CD3">
              <w:rPr>
                <w:rFonts w:ascii="Arial" w:hAnsi="Arial" w:cs="Arial"/>
                <w:b/>
                <w:color w:val="000000"/>
                <w:sz w:val="20"/>
                <w:szCs w:val="16"/>
              </w:rPr>
              <w:t>Comorbidi</w:t>
            </w:r>
            <w:r>
              <w:rPr>
                <w:rFonts w:ascii="Arial" w:hAnsi="Arial" w:cs="Arial"/>
                <w:b/>
                <w:color w:val="000000"/>
                <w:sz w:val="20"/>
                <w:szCs w:val="16"/>
              </w:rPr>
              <w:t>ties</w:t>
            </w:r>
            <w:r w:rsidRPr="00473334">
              <w:rPr>
                <w:rFonts w:ascii="Arial" w:hAnsi="Arial" w:cs="Arial"/>
                <w:b/>
                <w:color w:val="000000"/>
                <w:sz w:val="20"/>
                <w:szCs w:val="16"/>
                <w:vertAlign w:val="superscript"/>
              </w:rPr>
              <w:t>a</w:t>
            </w:r>
            <w:proofErr w:type="spellEnd"/>
          </w:p>
        </w:tc>
        <w:tc>
          <w:tcPr>
            <w:tcW w:w="1530" w:type="dxa"/>
            <w:tcBorders>
              <w:top w:val="nil"/>
              <w:left w:val="single" w:sz="4" w:space="0" w:color="auto"/>
              <w:bottom w:val="nil"/>
              <w:right w:val="nil"/>
            </w:tcBorders>
            <w:shd w:val="clear" w:color="auto" w:fill="auto"/>
            <w:vAlign w:val="center"/>
          </w:tcPr>
          <w:p w14:paraId="4FAF5518" w14:textId="77777777" w:rsidR="00A76EC8" w:rsidRPr="00DF7CD3" w:rsidRDefault="00A76EC8" w:rsidP="00A76EC8">
            <w:pPr>
              <w:spacing w:after="0"/>
              <w:ind w:left="-126" w:right="-90"/>
              <w:jc w:val="center"/>
              <w:rPr>
                <w:rFonts w:ascii="Arial" w:hAnsi="Arial" w:cs="Arial"/>
                <w:color w:val="000000"/>
                <w:sz w:val="20"/>
                <w:szCs w:val="16"/>
              </w:rPr>
            </w:pPr>
          </w:p>
        </w:tc>
        <w:tc>
          <w:tcPr>
            <w:tcW w:w="1530" w:type="dxa"/>
            <w:tcBorders>
              <w:top w:val="nil"/>
              <w:left w:val="nil"/>
              <w:bottom w:val="nil"/>
              <w:right w:val="nil"/>
            </w:tcBorders>
            <w:shd w:val="clear" w:color="auto" w:fill="auto"/>
            <w:vAlign w:val="center"/>
          </w:tcPr>
          <w:p w14:paraId="14604F11" w14:textId="77777777" w:rsidR="00A76EC8" w:rsidRPr="00DF7CD3" w:rsidRDefault="00A76EC8" w:rsidP="00A76EC8">
            <w:pPr>
              <w:spacing w:after="0"/>
              <w:ind w:left="-126" w:right="-90"/>
              <w:jc w:val="center"/>
              <w:rPr>
                <w:rFonts w:ascii="Arial" w:hAnsi="Arial" w:cs="Arial"/>
                <w:color w:val="000000"/>
                <w:sz w:val="20"/>
                <w:szCs w:val="16"/>
              </w:rPr>
            </w:pPr>
          </w:p>
        </w:tc>
        <w:tc>
          <w:tcPr>
            <w:tcW w:w="1530" w:type="dxa"/>
            <w:tcBorders>
              <w:top w:val="nil"/>
              <w:left w:val="nil"/>
              <w:bottom w:val="nil"/>
              <w:right w:val="single" w:sz="4" w:space="0" w:color="auto"/>
            </w:tcBorders>
            <w:shd w:val="clear" w:color="auto" w:fill="auto"/>
            <w:vAlign w:val="center"/>
          </w:tcPr>
          <w:p w14:paraId="4DC5EE61" w14:textId="77777777" w:rsidR="00A76EC8" w:rsidRPr="00DF7CD3" w:rsidRDefault="00A76EC8" w:rsidP="00A76EC8">
            <w:pPr>
              <w:spacing w:after="0"/>
              <w:ind w:left="-126" w:right="-90"/>
              <w:jc w:val="center"/>
              <w:rPr>
                <w:rFonts w:ascii="Arial" w:hAnsi="Arial" w:cs="Arial"/>
                <w:color w:val="000000"/>
                <w:sz w:val="20"/>
                <w:szCs w:val="16"/>
              </w:rPr>
            </w:pPr>
          </w:p>
        </w:tc>
        <w:tc>
          <w:tcPr>
            <w:tcW w:w="1620" w:type="dxa"/>
            <w:tcBorders>
              <w:top w:val="nil"/>
              <w:left w:val="nil"/>
              <w:bottom w:val="nil"/>
            </w:tcBorders>
            <w:vAlign w:val="center"/>
          </w:tcPr>
          <w:p w14:paraId="3D56E9B6" w14:textId="77777777" w:rsidR="00A76EC8" w:rsidRPr="00473334" w:rsidRDefault="00A76EC8" w:rsidP="00A76EC8">
            <w:pPr>
              <w:spacing w:after="0"/>
              <w:ind w:left="-126" w:right="-90"/>
              <w:jc w:val="center"/>
              <w:rPr>
                <w:rFonts w:ascii="Arial" w:hAnsi="Arial" w:cs="Arial"/>
                <w:color w:val="000000"/>
                <w:sz w:val="20"/>
                <w:szCs w:val="20"/>
              </w:rPr>
            </w:pPr>
          </w:p>
        </w:tc>
        <w:tc>
          <w:tcPr>
            <w:tcW w:w="1548" w:type="dxa"/>
            <w:tcBorders>
              <w:top w:val="nil"/>
              <w:bottom w:val="nil"/>
              <w:right w:val="single" w:sz="4" w:space="0" w:color="auto"/>
            </w:tcBorders>
            <w:vAlign w:val="center"/>
          </w:tcPr>
          <w:p w14:paraId="4A50C93A" w14:textId="77777777" w:rsidR="00A76EC8" w:rsidRPr="00473334" w:rsidRDefault="00A76EC8" w:rsidP="00A76EC8">
            <w:pPr>
              <w:spacing w:after="0"/>
              <w:ind w:left="-126" w:right="-90"/>
              <w:jc w:val="center"/>
              <w:rPr>
                <w:rFonts w:ascii="Arial" w:hAnsi="Arial" w:cs="Arial"/>
                <w:color w:val="000000"/>
                <w:sz w:val="20"/>
                <w:szCs w:val="20"/>
              </w:rPr>
            </w:pPr>
          </w:p>
        </w:tc>
      </w:tr>
      <w:tr w:rsidR="00A76EC8" w:rsidRPr="00701584" w14:paraId="61E184FB"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1A20A602"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Heart Failure</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718D57F1"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1,647 (14.7%) </w:t>
            </w:r>
          </w:p>
        </w:tc>
        <w:tc>
          <w:tcPr>
            <w:tcW w:w="1530" w:type="dxa"/>
            <w:tcBorders>
              <w:top w:val="nil"/>
              <w:left w:val="nil"/>
              <w:bottom w:val="nil"/>
              <w:right w:val="nil"/>
            </w:tcBorders>
            <w:shd w:val="clear" w:color="auto" w:fill="auto"/>
            <w:vAlign w:val="center"/>
            <w:hideMark/>
          </w:tcPr>
          <w:p w14:paraId="5673A1C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1,171 (13.5%) </w:t>
            </w:r>
          </w:p>
        </w:tc>
        <w:tc>
          <w:tcPr>
            <w:tcW w:w="1530" w:type="dxa"/>
            <w:tcBorders>
              <w:top w:val="nil"/>
              <w:left w:val="nil"/>
              <w:bottom w:val="nil"/>
              <w:right w:val="single" w:sz="4" w:space="0" w:color="auto"/>
            </w:tcBorders>
            <w:shd w:val="clear" w:color="auto" w:fill="auto"/>
            <w:vAlign w:val="center"/>
            <w:hideMark/>
          </w:tcPr>
          <w:p w14:paraId="2D111D7D"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476 (19.0%) </w:t>
            </w:r>
          </w:p>
        </w:tc>
        <w:tc>
          <w:tcPr>
            <w:tcW w:w="1620" w:type="dxa"/>
            <w:tcBorders>
              <w:top w:val="nil"/>
              <w:left w:val="nil"/>
              <w:bottom w:val="nil"/>
            </w:tcBorders>
          </w:tcPr>
          <w:p w14:paraId="04A51CFB"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322 (16.6%)</w:t>
            </w:r>
          </w:p>
        </w:tc>
        <w:tc>
          <w:tcPr>
            <w:tcW w:w="1548" w:type="dxa"/>
            <w:tcBorders>
              <w:top w:val="nil"/>
              <w:bottom w:val="nil"/>
              <w:right w:val="single" w:sz="4" w:space="0" w:color="auto"/>
            </w:tcBorders>
          </w:tcPr>
          <w:p w14:paraId="4D55711F"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351 (18.1%)</w:t>
            </w:r>
          </w:p>
        </w:tc>
      </w:tr>
      <w:tr w:rsidR="00A76EC8" w:rsidRPr="00701584" w14:paraId="57DB85D8"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23B77F68"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Renal Failure</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519F73AD"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1,161 (10.4%) </w:t>
            </w:r>
          </w:p>
        </w:tc>
        <w:tc>
          <w:tcPr>
            <w:tcW w:w="1530" w:type="dxa"/>
            <w:tcBorders>
              <w:top w:val="nil"/>
              <w:left w:val="nil"/>
              <w:bottom w:val="nil"/>
              <w:right w:val="nil"/>
            </w:tcBorders>
            <w:shd w:val="clear" w:color="auto" w:fill="auto"/>
            <w:vAlign w:val="center"/>
            <w:hideMark/>
          </w:tcPr>
          <w:p w14:paraId="6D2584D8"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754 (8.7%) </w:t>
            </w:r>
          </w:p>
        </w:tc>
        <w:tc>
          <w:tcPr>
            <w:tcW w:w="1530" w:type="dxa"/>
            <w:tcBorders>
              <w:top w:val="nil"/>
              <w:left w:val="nil"/>
              <w:bottom w:val="nil"/>
              <w:right w:val="single" w:sz="4" w:space="0" w:color="auto"/>
            </w:tcBorders>
            <w:shd w:val="clear" w:color="auto" w:fill="auto"/>
            <w:vAlign w:val="center"/>
            <w:hideMark/>
          </w:tcPr>
          <w:p w14:paraId="536639D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407 (16.2%) </w:t>
            </w:r>
          </w:p>
        </w:tc>
        <w:tc>
          <w:tcPr>
            <w:tcW w:w="1620" w:type="dxa"/>
            <w:tcBorders>
              <w:top w:val="nil"/>
              <w:left w:val="nil"/>
              <w:bottom w:val="nil"/>
            </w:tcBorders>
          </w:tcPr>
          <w:p w14:paraId="13C6ECF7"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278 (14.3%)</w:t>
            </w:r>
          </w:p>
        </w:tc>
        <w:tc>
          <w:tcPr>
            <w:tcW w:w="1548" w:type="dxa"/>
            <w:tcBorders>
              <w:top w:val="nil"/>
              <w:bottom w:val="nil"/>
              <w:right w:val="single" w:sz="4" w:space="0" w:color="auto"/>
            </w:tcBorders>
          </w:tcPr>
          <w:p w14:paraId="517D881C"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284 (14.6%)</w:t>
            </w:r>
          </w:p>
        </w:tc>
      </w:tr>
      <w:tr w:rsidR="00A76EC8" w:rsidRPr="00701584" w14:paraId="136902C2"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1BAA89FC"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COPD</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787C4C34"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793 (7.1%) </w:t>
            </w:r>
          </w:p>
        </w:tc>
        <w:tc>
          <w:tcPr>
            <w:tcW w:w="1530" w:type="dxa"/>
            <w:tcBorders>
              <w:top w:val="nil"/>
              <w:left w:val="nil"/>
              <w:bottom w:val="nil"/>
              <w:right w:val="nil"/>
            </w:tcBorders>
            <w:shd w:val="clear" w:color="auto" w:fill="auto"/>
            <w:vAlign w:val="center"/>
            <w:hideMark/>
          </w:tcPr>
          <w:p w14:paraId="538467E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666 (7.7%) </w:t>
            </w:r>
          </w:p>
        </w:tc>
        <w:tc>
          <w:tcPr>
            <w:tcW w:w="1530" w:type="dxa"/>
            <w:tcBorders>
              <w:top w:val="nil"/>
              <w:left w:val="nil"/>
              <w:bottom w:val="nil"/>
              <w:right w:val="single" w:sz="4" w:space="0" w:color="auto"/>
            </w:tcBorders>
            <w:shd w:val="clear" w:color="auto" w:fill="auto"/>
            <w:vAlign w:val="center"/>
            <w:hideMark/>
          </w:tcPr>
          <w:p w14:paraId="1993741F"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127 (5.1%) </w:t>
            </w:r>
          </w:p>
        </w:tc>
        <w:tc>
          <w:tcPr>
            <w:tcW w:w="1620" w:type="dxa"/>
            <w:tcBorders>
              <w:top w:val="nil"/>
              <w:left w:val="nil"/>
              <w:bottom w:val="nil"/>
            </w:tcBorders>
          </w:tcPr>
          <w:p w14:paraId="48DA8342"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96 (4.9%)</w:t>
            </w:r>
          </w:p>
        </w:tc>
        <w:tc>
          <w:tcPr>
            <w:tcW w:w="1548" w:type="dxa"/>
            <w:tcBorders>
              <w:top w:val="nil"/>
              <w:bottom w:val="nil"/>
              <w:right w:val="single" w:sz="4" w:space="0" w:color="auto"/>
            </w:tcBorders>
          </w:tcPr>
          <w:p w14:paraId="01EA4516"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100 (5.1%)</w:t>
            </w:r>
          </w:p>
        </w:tc>
      </w:tr>
      <w:tr w:rsidR="00A76EC8" w:rsidRPr="00701584" w14:paraId="7C112E98"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3E9B94EF"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Diabetes</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71AD781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3,631 (32.5%) </w:t>
            </w:r>
          </w:p>
        </w:tc>
        <w:tc>
          <w:tcPr>
            <w:tcW w:w="1530" w:type="dxa"/>
            <w:tcBorders>
              <w:top w:val="nil"/>
              <w:left w:val="nil"/>
              <w:bottom w:val="nil"/>
              <w:right w:val="nil"/>
            </w:tcBorders>
            <w:shd w:val="clear" w:color="auto" w:fill="auto"/>
            <w:vAlign w:val="center"/>
            <w:hideMark/>
          </w:tcPr>
          <w:p w14:paraId="26E5712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2,815 (32.5%) </w:t>
            </w:r>
          </w:p>
        </w:tc>
        <w:tc>
          <w:tcPr>
            <w:tcW w:w="1530" w:type="dxa"/>
            <w:tcBorders>
              <w:top w:val="nil"/>
              <w:left w:val="nil"/>
              <w:bottom w:val="nil"/>
              <w:right w:val="single" w:sz="4" w:space="0" w:color="auto"/>
            </w:tcBorders>
            <w:shd w:val="clear" w:color="auto" w:fill="auto"/>
            <w:vAlign w:val="center"/>
            <w:hideMark/>
          </w:tcPr>
          <w:p w14:paraId="4B32109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816 (32.5%) </w:t>
            </w:r>
          </w:p>
        </w:tc>
        <w:tc>
          <w:tcPr>
            <w:tcW w:w="1620" w:type="dxa"/>
            <w:tcBorders>
              <w:top w:val="nil"/>
              <w:left w:val="nil"/>
              <w:bottom w:val="nil"/>
            </w:tcBorders>
          </w:tcPr>
          <w:p w14:paraId="5AB2AE78"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587 (30.2%)</w:t>
            </w:r>
          </w:p>
        </w:tc>
        <w:tc>
          <w:tcPr>
            <w:tcW w:w="1548" w:type="dxa"/>
            <w:tcBorders>
              <w:top w:val="nil"/>
              <w:bottom w:val="nil"/>
              <w:right w:val="single" w:sz="4" w:space="0" w:color="auto"/>
            </w:tcBorders>
          </w:tcPr>
          <w:p w14:paraId="13DC0DFC"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617 (31.8%)</w:t>
            </w:r>
          </w:p>
        </w:tc>
      </w:tr>
      <w:tr w:rsidR="00A76EC8" w:rsidRPr="00701584" w14:paraId="04676545"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3A358A4F"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Liver Failure</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3307D3BD"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173 (1.5%) </w:t>
            </w:r>
          </w:p>
        </w:tc>
        <w:tc>
          <w:tcPr>
            <w:tcW w:w="1530" w:type="dxa"/>
            <w:tcBorders>
              <w:top w:val="nil"/>
              <w:left w:val="nil"/>
              <w:bottom w:val="nil"/>
              <w:right w:val="nil"/>
            </w:tcBorders>
            <w:shd w:val="clear" w:color="auto" w:fill="auto"/>
            <w:vAlign w:val="center"/>
            <w:hideMark/>
          </w:tcPr>
          <w:p w14:paraId="4E52C7BC"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124 (1.4%) </w:t>
            </w:r>
          </w:p>
        </w:tc>
        <w:tc>
          <w:tcPr>
            <w:tcW w:w="1530" w:type="dxa"/>
            <w:tcBorders>
              <w:top w:val="nil"/>
              <w:left w:val="nil"/>
              <w:bottom w:val="nil"/>
              <w:right w:val="single" w:sz="4" w:space="0" w:color="auto"/>
            </w:tcBorders>
            <w:shd w:val="clear" w:color="auto" w:fill="auto"/>
            <w:vAlign w:val="center"/>
            <w:hideMark/>
          </w:tcPr>
          <w:p w14:paraId="58C55B7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49 (2.0%) </w:t>
            </w:r>
          </w:p>
        </w:tc>
        <w:tc>
          <w:tcPr>
            <w:tcW w:w="1620" w:type="dxa"/>
            <w:tcBorders>
              <w:top w:val="nil"/>
              <w:left w:val="nil"/>
              <w:bottom w:val="nil"/>
            </w:tcBorders>
          </w:tcPr>
          <w:p w14:paraId="26532B8B"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41 (2.1%)</w:t>
            </w:r>
          </w:p>
        </w:tc>
        <w:tc>
          <w:tcPr>
            <w:tcW w:w="1548" w:type="dxa"/>
            <w:tcBorders>
              <w:top w:val="nil"/>
              <w:bottom w:val="nil"/>
              <w:right w:val="single" w:sz="4" w:space="0" w:color="auto"/>
            </w:tcBorders>
          </w:tcPr>
          <w:p w14:paraId="5FBA2D44"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36 (1.9%)</w:t>
            </w:r>
          </w:p>
        </w:tc>
      </w:tr>
      <w:tr w:rsidR="00A76EC8" w:rsidRPr="00701584" w14:paraId="650BC60A"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0DA4BA32"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Immune modifying medication</w:t>
            </w:r>
            <w:r>
              <w:rPr>
                <w:rFonts w:ascii="Arial" w:hAnsi="Arial" w:cs="Arial"/>
                <w:color w:val="000000"/>
                <w:sz w:val="20"/>
                <w:szCs w:val="16"/>
              </w:rPr>
              <w:t>s*</w:t>
            </w:r>
          </w:p>
        </w:tc>
        <w:tc>
          <w:tcPr>
            <w:tcW w:w="1530" w:type="dxa"/>
            <w:tcBorders>
              <w:top w:val="nil"/>
              <w:left w:val="single" w:sz="4" w:space="0" w:color="auto"/>
              <w:bottom w:val="nil"/>
              <w:right w:val="nil"/>
            </w:tcBorders>
            <w:shd w:val="clear" w:color="auto" w:fill="auto"/>
            <w:vAlign w:val="center"/>
            <w:hideMark/>
          </w:tcPr>
          <w:p w14:paraId="0387D78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2,346 (21.0%) </w:t>
            </w:r>
          </w:p>
        </w:tc>
        <w:tc>
          <w:tcPr>
            <w:tcW w:w="1530" w:type="dxa"/>
            <w:tcBorders>
              <w:top w:val="nil"/>
              <w:left w:val="nil"/>
              <w:bottom w:val="nil"/>
              <w:right w:val="nil"/>
            </w:tcBorders>
            <w:shd w:val="clear" w:color="auto" w:fill="auto"/>
            <w:vAlign w:val="center"/>
            <w:hideMark/>
          </w:tcPr>
          <w:p w14:paraId="0D62F9F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1,748 (20.2%) </w:t>
            </w:r>
          </w:p>
        </w:tc>
        <w:tc>
          <w:tcPr>
            <w:tcW w:w="1530" w:type="dxa"/>
            <w:tcBorders>
              <w:top w:val="nil"/>
              <w:left w:val="nil"/>
              <w:bottom w:val="nil"/>
              <w:right w:val="single" w:sz="4" w:space="0" w:color="auto"/>
            </w:tcBorders>
            <w:shd w:val="clear" w:color="auto" w:fill="auto"/>
            <w:vAlign w:val="center"/>
            <w:hideMark/>
          </w:tcPr>
          <w:p w14:paraId="291CD9A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598 (23.8%) </w:t>
            </w:r>
          </w:p>
        </w:tc>
        <w:tc>
          <w:tcPr>
            <w:tcW w:w="1620" w:type="dxa"/>
            <w:tcBorders>
              <w:top w:val="nil"/>
              <w:left w:val="nil"/>
              <w:bottom w:val="nil"/>
            </w:tcBorders>
          </w:tcPr>
          <w:p w14:paraId="52D73389"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439 (22.6%)</w:t>
            </w:r>
          </w:p>
        </w:tc>
        <w:tc>
          <w:tcPr>
            <w:tcW w:w="1548" w:type="dxa"/>
            <w:tcBorders>
              <w:top w:val="nil"/>
              <w:bottom w:val="nil"/>
              <w:right w:val="single" w:sz="4" w:space="0" w:color="auto"/>
            </w:tcBorders>
          </w:tcPr>
          <w:p w14:paraId="24E0F460" w14:textId="77777777" w:rsidR="00A76EC8" w:rsidRPr="00D24CD2" w:rsidRDefault="00A76EC8" w:rsidP="00A76EC8">
            <w:pPr>
              <w:spacing w:after="0"/>
              <w:ind w:left="-126" w:right="-90"/>
              <w:jc w:val="center"/>
              <w:rPr>
                <w:rFonts w:ascii="Arial" w:hAnsi="Arial" w:cs="Arial"/>
                <w:color w:val="000000" w:themeColor="text1"/>
                <w:sz w:val="20"/>
                <w:szCs w:val="16"/>
              </w:rPr>
            </w:pPr>
            <w:r w:rsidRPr="00D24CD2">
              <w:rPr>
                <w:rFonts w:ascii="Arial" w:hAnsi="Arial" w:cs="Arial"/>
                <w:color w:val="000000" w:themeColor="text1"/>
                <w:sz w:val="20"/>
                <w:szCs w:val="16"/>
              </w:rPr>
              <w:t>459 (23.6%)</w:t>
            </w:r>
          </w:p>
        </w:tc>
      </w:tr>
      <w:tr w:rsidR="00A76EC8" w:rsidRPr="00701584" w14:paraId="16F59CCC"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0FB94C32" w14:textId="77777777" w:rsidR="00A76EC8" w:rsidRPr="00DF7CD3" w:rsidRDefault="00A76EC8" w:rsidP="00A76EC8">
            <w:pPr>
              <w:spacing w:after="0"/>
              <w:rPr>
                <w:rFonts w:ascii="Arial" w:hAnsi="Arial" w:cs="Arial"/>
                <w:b/>
                <w:color w:val="000000"/>
                <w:sz w:val="20"/>
                <w:szCs w:val="16"/>
              </w:rPr>
            </w:pPr>
            <w:r w:rsidRPr="00DF7CD3">
              <w:rPr>
                <w:rFonts w:ascii="Arial" w:hAnsi="Arial" w:cs="Arial"/>
                <w:b/>
                <w:color w:val="000000"/>
                <w:sz w:val="20"/>
                <w:szCs w:val="16"/>
              </w:rPr>
              <w:t>Presentation</w:t>
            </w:r>
            <w:r>
              <w:rPr>
                <w:rFonts w:ascii="Arial" w:hAnsi="Arial" w:cs="Arial"/>
                <w:b/>
                <w:color w:val="000000"/>
                <w:sz w:val="20"/>
                <w:szCs w:val="16"/>
              </w:rPr>
              <w:t xml:space="preserve"> and Etiology</w:t>
            </w:r>
          </w:p>
        </w:tc>
        <w:tc>
          <w:tcPr>
            <w:tcW w:w="1530" w:type="dxa"/>
            <w:tcBorders>
              <w:top w:val="nil"/>
              <w:left w:val="single" w:sz="4" w:space="0" w:color="auto"/>
              <w:bottom w:val="nil"/>
              <w:right w:val="nil"/>
            </w:tcBorders>
            <w:shd w:val="clear" w:color="auto" w:fill="auto"/>
            <w:vAlign w:val="center"/>
          </w:tcPr>
          <w:p w14:paraId="52ACD67B" w14:textId="77777777" w:rsidR="00A76EC8" w:rsidRPr="00DF7CD3" w:rsidRDefault="00A76EC8" w:rsidP="00A76EC8">
            <w:pPr>
              <w:spacing w:after="0"/>
              <w:ind w:left="-126" w:right="-90"/>
              <w:rPr>
                <w:rFonts w:ascii="Arial" w:hAnsi="Arial" w:cs="Arial"/>
                <w:color w:val="000000"/>
                <w:sz w:val="20"/>
                <w:szCs w:val="16"/>
              </w:rPr>
            </w:pPr>
          </w:p>
        </w:tc>
        <w:tc>
          <w:tcPr>
            <w:tcW w:w="1530" w:type="dxa"/>
            <w:tcBorders>
              <w:top w:val="nil"/>
              <w:left w:val="nil"/>
              <w:bottom w:val="nil"/>
              <w:right w:val="nil"/>
            </w:tcBorders>
            <w:shd w:val="clear" w:color="auto" w:fill="auto"/>
            <w:vAlign w:val="center"/>
          </w:tcPr>
          <w:p w14:paraId="4BAD0EFD" w14:textId="77777777" w:rsidR="00A76EC8" w:rsidRPr="00DF7CD3" w:rsidRDefault="00A76EC8" w:rsidP="00A76EC8">
            <w:pPr>
              <w:spacing w:after="0"/>
              <w:ind w:left="-126" w:right="-90"/>
              <w:jc w:val="center"/>
              <w:rPr>
                <w:rFonts w:ascii="Arial" w:hAnsi="Arial" w:cs="Arial"/>
                <w:sz w:val="20"/>
                <w:szCs w:val="16"/>
              </w:rPr>
            </w:pPr>
          </w:p>
        </w:tc>
        <w:tc>
          <w:tcPr>
            <w:tcW w:w="1530" w:type="dxa"/>
            <w:tcBorders>
              <w:top w:val="nil"/>
              <w:left w:val="nil"/>
              <w:bottom w:val="nil"/>
              <w:right w:val="single" w:sz="4" w:space="0" w:color="auto"/>
            </w:tcBorders>
            <w:shd w:val="clear" w:color="auto" w:fill="auto"/>
            <w:vAlign w:val="center"/>
          </w:tcPr>
          <w:p w14:paraId="4924E5BD" w14:textId="77777777" w:rsidR="00A76EC8" w:rsidRPr="00DF7CD3" w:rsidRDefault="00A76EC8" w:rsidP="00A76EC8">
            <w:pPr>
              <w:spacing w:after="0"/>
              <w:ind w:left="-126" w:right="-90"/>
              <w:jc w:val="center"/>
              <w:rPr>
                <w:rFonts w:ascii="Arial" w:hAnsi="Arial" w:cs="Arial"/>
                <w:color w:val="000000"/>
                <w:sz w:val="20"/>
                <w:szCs w:val="16"/>
              </w:rPr>
            </w:pPr>
          </w:p>
        </w:tc>
        <w:tc>
          <w:tcPr>
            <w:tcW w:w="1620" w:type="dxa"/>
            <w:tcBorders>
              <w:top w:val="nil"/>
              <w:left w:val="nil"/>
              <w:bottom w:val="nil"/>
            </w:tcBorders>
          </w:tcPr>
          <w:p w14:paraId="278E57BB" w14:textId="77777777" w:rsidR="00A76EC8" w:rsidRPr="00473334" w:rsidRDefault="00A76EC8" w:rsidP="00A76EC8">
            <w:pPr>
              <w:spacing w:after="0"/>
              <w:ind w:left="-126" w:right="-90"/>
              <w:jc w:val="center"/>
              <w:rPr>
                <w:rFonts w:ascii="Arial" w:hAnsi="Arial" w:cs="Arial"/>
                <w:color w:val="000000"/>
                <w:sz w:val="20"/>
                <w:szCs w:val="20"/>
              </w:rPr>
            </w:pPr>
          </w:p>
        </w:tc>
        <w:tc>
          <w:tcPr>
            <w:tcW w:w="1548" w:type="dxa"/>
            <w:tcBorders>
              <w:top w:val="nil"/>
              <w:bottom w:val="nil"/>
              <w:right w:val="single" w:sz="4" w:space="0" w:color="auto"/>
            </w:tcBorders>
          </w:tcPr>
          <w:p w14:paraId="1AC87322" w14:textId="77777777" w:rsidR="00A76EC8" w:rsidRPr="00473334" w:rsidRDefault="00A76EC8" w:rsidP="00A76EC8">
            <w:pPr>
              <w:spacing w:after="0"/>
              <w:ind w:left="-126" w:right="-90"/>
              <w:jc w:val="center"/>
              <w:rPr>
                <w:rFonts w:ascii="Arial" w:hAnsi="Arial" w:cs="Arial"/>
                <w:color w:val="000000"/>
                <w:sz w:val="20"/>
                <w:szCs w:val="20"/>
              </w:rPr>
            </w:pPr>
          </w:p>
        </w:tc>
      </w:tr>
      <w:tr w:rsidR="00A76EC8" w:rsidRPr="00701584" w14:paraId="61897B91"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678CEF7C"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Respir</w:t>
            </w:r>
            <w:r>
              <w:rPr>
                <w:rFonts w:ascii="Arial" w:hAnsi="Arial" w:cs="Arial"/>
                <w:color w:val="000000"/>
                <w:sz w:val="20"/>
                <w:szCs w:val="16"/>
              </w:rPr>
              <w:t>atory Infection Source</w:t>
            </w:r>
          </w:p>
        </w:tc>
        <w:tc>
          <w:tcPr>
            <w:tcW w:w="1530" w:type="dxa"/>
            <w:tcBorders>
              <w:top w:val="nil"/>
              <w:left w:val="single" w:sz="4" w:space="0" w:color="auto"/>
              <w:bottom w:val="nil"/>
              <w:right w:val="nil"/>
            </w:tcBorders>
            <w:shd w:val="clear" w:color="auto" w:fill="auto"/>
            <w:vAlign w:val="center"/>
            <w:hideMark/>
          </w:tcPr>
          <w:p w14:paraId="24CC5CC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4,460 (39.9%) </w:t>
            </w:r>
          </w:p>
        </w:tc>
        <w:tc>
          <w:tcPr>
            <w:tcW w:w="1530" w:type="dxa"/>
            <w:tcBorders>
              <w:top w:val="nil"/>
              <w:left w:val="nil"/>
              <w:bottom w:val="nil"/>
              <w:right w:val="nil"/>
            </w:tcBorders>
            <w:shd w:val="clear" w:color="auto" w:fill="auto"/>
            <w:vAlign w:val="center"/>
            <w:hideMark/>
          </w:tcPr>
          <w:p w14:paraId="4F1064B5"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3,456 (39.8%) </w:t>
            </w:r>
          </w:p>
        </w:tc>
        <w:tc>
          <w:tcPr>
            <w:tcW w:w="1530" w:type="dxa"/>
            <w:tcBorders>
              <w:top w:val="nil"/>
              <w:left w:val="nil"/>
              <w:bottom w:val="nil"/>
              <w:right w:val="single" w:sz="4" w:space="0" w:color="auto"/>
            </w:tcBorders>
            <w:shd w:val="clear" w:color="auto" w:fill="auto"/>
            <w:vAlign w:val="center"/>
            <w:hideMark/>
          </w:tcPr>
          <w:p w14:paraId="42F45DD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1,004 (40.0%) </w:t>
            </w:r>
          </w:p>
        </w:tc>
        <w:tc>
          <w:tcPr>
            <w:tcW w:w="1620" w:type="dxa"/>
            <w:tcBorders>
              <w:top w:val="nil"/>
              <w:left w:val="nil"/>
              <w:bottom w:val="nil"/>
            </w:tcBorders>
            <w:vAlign w:val="center"/>
          </w:tcPr>
          <w:p w14:paraId="33C155D4"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728 (37.5%)</w:t>
            </w:r>
          </w:p>
        </w:tc>
        <w:tc>
          <w:tcPr>
            <w:tcW w:w="1548" w:type="dxa"/>
            <w:tcBorders>
              <w:top w:val="nil"/>
              <w:bottom w:val="nil"/>
              <w:right w:val="single" w:sz="4" w:space="0" w:color="auto"/>
            </w:tcBorders>
            <w:vAlign w:val="center"/>
          </w:tcPr>
          <w:p w14:paraId="1B06737E"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787 (40.5%)</w:t>
            </w:r>
          </w:p>
        </w:tc>
      </w:tr>
      <w:tr w:rsidR="00A76EC8" w:rsidRPr="00701584" w14:paraId="2578785D"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72565EDC"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Urinary</w:t>
            </w:r>
            <w:r>
              <w:rPr>
                <w:rFonts w:ascii="Arial" w:hAnsi="Arial" w:cs="Arial"/>
                <w:color w:val="000000"/>
                <w:sz w:val="20"/>
                <w:szCs w:val="16"/>
              </w:rPr>
              <w:t xml:space="preserve"> Infection Source</w:t>
            </w:r>
          </w:p>
        </w:tc>
        <w:tc>
          <w:tcPr>
            <w:tcW w:w="1530" w:type="dxa"/>
            <w:tcBorders>
              <w:top w:val="nil"/>
              <w:left w:val="single" w:sz="4" w:space="0" w:color="auto"/>
              <w:bottom w:val="nil"/>
              <w:right w:val="nil"/>
            </w:tcBorders>
            <w:shd w:val="clear" w:color="auto" w:fill="auto"/>
            <w:vAlign w:val="center"/>
            <w:hideMark/>
          </w:tcPr>
          <w:p w14:paraId="7682216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2,802 (25.1%) </w:t>
            </w:r>
          </w:p>
        </w:tc>
        <w:tc>
          <w:tcPr>
            <w:tcW w:w="1530" w:type="dxa"/>
            <w:tcBorders>
              <w:top w:val="nil"/>
              <w:left w:val="nil"/>
              <w:bottom w:val="nil"/>
              <w:right w:val="nil"/>
            </w:tcBorders>
            <w:shd w:val="clear" w:color="auto" w:fill="auto"/>
            <w:vAlign w:val="center"/>
            <w:hideMark/>
          </w:tcPr>
          <w:p w14:paraId="7948FDA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2,321 (26.8%) </w:t>
            </w:r>
          </w:p>
        </w:tc>
        <w:tc>
          <w:tcPr>
            <w:tcW w:w="1530" w:type="dxa"/>
            <w:tcBorders>
              <w:top w:val="nil"/>
              <w:left w:val="nil"/>
              <w:bottom w:val="nil"/>
              <w:right w:val="single" w:sz="4" w:space="0" w:color="auto"/>
            </w:tcBorders>
            <w:shd w:val="clear" w:color="auto" w:fill="auto"/>
            <w:vAlign w:val="center"/>
            <w:hideMark/>
          </w:tcPr>
          <w:p w14:paraId="0038E72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481 (19.2%) </w:t>
            </w:r>
          </w:p>
        </w:tc>
        <w:tc>
          <w:tcPr>
            <w:tcW w:w="1620" w:type="dxa"/>
            <w:tcBorders>
              <w:top w:val="nil"/>
              <w:left w:val="nil"/>
              <w:bottom w:val="nil"/>
            </w:tcBorders>
            <w:vAlign w:val="center"/>
          </w:tcPr>
          <w:p w14:paraId="2207E4FC"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404 (20.8%)</w:t>
            </w:r>
          </w:p>
        </w:tc>
        <w:tc>
          <w:tcPr>
            <w:tcW w:w="1548" w:type="dxa"/>
            <w:tcBorders>
              <w:top w:val="nil"/>
              <w:bottom w:val="nil"/>
              <w:right w:val="single" w:sz="4" w:space="0" w:color="auto"/>
            </w:tcBorders>
            <w:vAlign w:val="center"/>
          </w:tcPr>
          <w:p w14:paraId="23E86507"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369 (19.0%)</w:t>
            </w:r>
          </w:p>
        </w:tc>
      </w:tr>
      <w:tr w:rsidR="00A76EC8" w:rsidRPr="00701584" w14:paraId="23323048"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19AE51D1"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Skin</w:t>
            </w:r>
            <w:r>
              <w:rPr>
                <w:rFonts w:ascii="Arial" w:hAnsi="Arial" w:cs="Arial"/>
                <w:color w:val="000000"/>
                <w:sz w:val="20"/>
                <w:szCs w:val="16"/>
              </w:rPr>
              <w:t>/Soft Tissue Infection Source</w:t>
            </w:r>
          </w:p>
        </w:tc>
        <w:tc>
          <w:tcPr>
            <w:tcW w:w="1530" w:type="dxa"/>
            <w:tcBorders>
              <w:top w:val="nil"/>
              <w:left w:val="single" w:sz="4" w:space="0" w:color="auto"/>
              <w:bottom w:val="nil"/>
              <w:right w:val="nil"/>
            </w:tcBorders>
            <w:shd w:val="clear" w:color="auto" w:fill="auto"/>
            <w:vAlign w:val="center"/>
            <w:hideMark/>
          </w:tcPr>
          <w:p w14:paraId="4F858415"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778 (7.0%) </w:t>
            </w:r>
          </w:p>
        </w:tc>
        <w:tc>
          <w:tcPr>
            <w:tcW w:w="1530" w:type="dxa"/>
            <w:tcBorders>
              <w:top w:val="nil"/>
              <w:left w:val="nil"/>
              <w:bottom w:val="nil"/>
              <w:right w:val="nil"/>
            </w:tcBorders>
            <w:shd w:val="clear" w:color="auto" w:fill="auto"/>
            <w:vAlign w:val="center"/>
            <w:hideMark/>
          </w:tcPr>
          <w:p w14:paraId="50290C91"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644 (7.4%) </w:t>
            </w:r>
          </w:p>
        </w:tc>
        <w:tc>
          <w:tcPr>
            <w:tcW w:w="1530" w:type="dxa"/>
            <w:tcBorders>
              <w:top w:val="nil"/>
              <w:left w:val="nil"/>
              <w:bottom w:val="nil"/>
              <w:right w:val="single" w:sz="4" w:space="0" w:color="auto"/>
            </w:tcBorders>
            <w:shd w:val="clear" w:color="auto" w:fill="auto"/>
            <w:vAlign w:val="center"/>
            <w:hideMark/>
          </w:tcPr>
          <w:p w14:paraId="51D408F1"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134 (5.3%) </w:t>
            </w:r>
          </w:p>
        </w:tc>
        <w:tc>
          <w:tcPr>
            <w:tcW w:w="1620" w:type="dxa"/>
            <w:tcBorders>
              <w:top w:val="nil"/>
              <w:left w:val="nil"/>
              <w:bottom w:val="nil"/>
            </w:tcBorders>
            <w:vAlign w:val="center"/>
          </w:tcPr>
          <w:p w14:paraId="4E67DF77"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154 (7.9%)</w:t>
            </w:r>
          </w:p>
        </w:tc>
        <w:tc>
          <w:tcPr>
            <w:tcW w:w="1548" w:type="dxa"/>
            <w:tcBorders>
              <w:top w:val="nil"/>
              <w:bottom w:val="nil"/>
              <w:right w:val="single" w:sz="4" w:space="0" w:color="auto"/>
            </w:tcBorders>
            <w:vAlign w:val="center"/>
          </w:tcPr>
          <w:p w14:paraId="01F4B0E0"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92 (4.7%)</w:t>
            </w:r>
          </w:p>
        </w:tc>
      </w:tr>
      <w:tr w:rsidR="00A76EC8" w:rsidRPr="00701584" w14:paraId="08DC71AA"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577308C2" w14:textId="77777777" w:rsidR="00A76EC8" w:rsidRPr="00DF7CD3" w:rsidRDefault="00A76EC8" w:rsidP="00A76EC8">
            <w:pPr>
              <w:spacing w:after="0"/>
              <w:rPr>
                <w:rFonts w:ascii="Arial" w:hAnsi="Arial" w:cs="Arial"/>
                <w:color w:val="000000"/>
                <w:sz w:val="20"/>
                <w:szCs w:val="16"/>
              </w:rPr>
            </w:pPr>
            <w:r>
              <w:rPr>
                <w:rFonts w:ascii="Arial" w:hAnsi="Arial" w:cs="Arial"/>
                <w:color w:val="000000"/>
                <w:sz w:val="20"/>
                <w:szCs w:val="16"/>
              </w:rPr>
              <w:t>Gastrointestinal Infection Source</w:t>
            </w:r>
          </w:p>
        </w:tc>
        <w:tc>
          <w:tcPr>
            <w:tcW w:w="1530" w:type="dxa"/>
            <w:tcBorders>
              <w:top w:val="nil"/>
              <w:left w:val="single" w:sz="4" w:space="0" w:color="auto"/>
              <w:bottom w:val="nil"/>
              <w:right w:val="nil"/>
            </w:tcBorders>
            <w:shd w:val="clear" w:color="auto" w:fill="auto"/>
            <w:vAlign w:val="center"/>
            <w:hideMark/>
          </w:tcPr>
          <w:p w14:paraId="7323D9B5"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1,071 (9.6%) </w:t>
            </w:r>
          </w:p>
        </w:tc>
        <w:tc>
          <w:tcPr>
            <w:tcW w:w="1530" w:type="dxa"/>
            <w:tcBorders>
              <w:top w:val="nil"/>
              <w:left w:val="nil"/>
              <w:bottom w:val="nil"/>
              <w:right w:val="nil"/>
            </w:tcBorders>
            <w:shd w:val="clear" w:color="auto" w:fill="auto"/>
            <w:vAlign w:val="center"/>
            <w:hideMark/>
          </w:tcPr>
          <w:p w14:paraId="4163EFC9"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734 (8.5%) </w:t>
            </w:r>
          </w:p>
        </w:tc>
        <w:tc>
          <w:tcPr>
            <w:tcW w:w="1530" w:type="dxa"/>
            <w:tcBorders>
              <w:top w:val="nil"/>
              <w:left w:val="nil"/>
              <w:bottom w:val="nil"/>
              <w:right w:val="single" w:sz="4" w:space="0" w:color="auto"/>
            </w:tcBorders>
            <w:shd w:val="clear" w:color="auto" w:fill="auto"/>
            <w:vAlign w:val="center"/>
            <w:hideMark/>
          </w:tcPr>
          <w:p w14:paraId="31F2D5C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337 (13.4%) </w:t>
            </w:r>
          </w:p>
        </w:tc>
        <w:tc>
          <w:tcPr>
            <w:tcW w:w="1620" w:type="dxa"/>
            <w:tcBorders>
              <w:top w:val="nil"/>
              <w:left w:val="nil"/>
              <w:bottom w:val="nil"/>
            </w:tcBorders>
            <w:vAlign w:val="center"/>
          </w:tcPr>
          <w:p w14:paraId="4BFEF786"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202 (10.4%)</w:t>
            </w:r>
          </w:p>
        </w:tc>
        <w:tc>
          <w:tcPr>
            <w:tcW w:w="1548" w:type="dxa"/>
            <w:tcBorders>
              <w:top w:val="nil"/>
              <w:bottom w:val="nil"/>
              <w:right w:val="single" w:sz="4" w:space="0" w:color="auto"/>
            </w:tcBorders>
            <w:vAlign w:val="center"/>
          </w:tcPr>
          <w:p w14:paraId="0F6AA22E"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268 (13.8%)</w:t>
            </w:r>
          </w:p>
        </w:tc>
      </w:tr>
      <w:tr w:rsidR="00A76EC8" w:rsidRPr="00701584" w14:paraId="5947192D"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0C014E05"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Other</w:t>
            </w:r>
            <w:r>
              <w:rPr>
                <w:rFonts w:ascii="Arial" w:hAnsi="Arial" w:cs="Arial"/>
                <w:color w:val="000000"/>
                <w:sz w:val="20"/>
                <w:szCs w:val="16"/>
              </w:rPr>
              <w:t>/Unknown Infection Source</w:t>
            </w:r>
          </w:p>
        </w:tc>
        <w:tc>
          <w:tcPr>
            <w:tcW w:w="1530" w:type="dxa"/>
            <w:tcBorders>
              <w:top w:val="nil"/>
              <w:left w:val="single" w:sz="4" w:space="0" w:color="auto"/>
              <w:bottom w:val="nil"/>
              <w:right w:val="nil"/>
            </w:tcBorders>
            <w:shd w:val="clear" w:color="auto" w:fill="auto"/>
            <w:vAlign w:val="center"/>
            <w:hideMark/>
          </w:tcPr>
          <w:p w14:paraId="291ABF54"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2,071 (18.5%) </w:t>
            </w:r>
          </w:p>
        </w:tc>
        <w:tc>
          <w:tcPr>
            <w:tcW w:w="1530" w:type="dxa"/>
            <w:tcBorders>
              <w:top w:val="nil"/>
              <w:left w:val="nil"/>
              <w:bottom w:val="nil"/>
              <w:right w:val="nil"/>
            </w:tcBorders>
            <w:shd w:val="clear" w:color="auto" w:fill="auto"/>
            <w:vAlign w:val="center"/>
            <w:hideMark/>
          </w:tcPr>
          <w:p w14:paraId="022AC51F"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1,518 (17.5%) </w:t>
            </w:r>
          </w:p>
        </w:tc>
        <w:tc>
          <w:tcPr>
            <w:tcW w:w="1530" w:type="dxa"/>
            <w:tcBorders>
              <w:top w:val="nil"/>
              <w:left w:val="nil"/>
              <w:bottom w:val="nil"/>
              <w:right w:val="single" w:sz="4" w:space="0" w:color="auto"/>
            </w:tcBorders>
            <w:shd w:val="clear" w:color="auto" w:fill="auto"/>
            <w:vAlign w:val="center"/>
            <w:hideMark/>
          </w:tcPr>
          <w:p w14:paraId="3DD8F44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553 (22.0%) </w:t>
            </w:r>
          </w:p>
        </w:tc>
        <w:tc>
          <w:tcPr>
            <w:tcW w:w="1620" w:type="dxa"/>
            <w:tcBorders>
              <w:top w:val="nil"/>
              <w:left w:val="nil"/>
              <w:bottom w:val="nil"/>
            </w:tcBorders>
            <w:vAlign w:val="center"/>
          </w:tcPr>
          <w:p w14:paraId="47211719"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454 (23.4%)</w:t>
            </w:r>
          </w:p>
        </w:tc>
        <w:tc>
          <w:tcPr>
            <w:tcW w:w="1548" w:type="dxa"/>
            <w:tcBorders>
              <w:top w:val="nil"/>
              <w:bottom w:val="nil"/>
              <w:right w:val="single" w:sz="4" w:space="0" w:color="auto"/>
            </w:tcBorders>
            <w:vAlign w:val="center"/>
          </w:tcPr>
          <w:p w14:paraId="5B8004DA"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426 (21.9%)</w:t>
            </w:r>
          </w:p>
        </w:tc>
      </w:tr>
      <w:tr w:rsidR="00A76EC8" w:rsidRPr="00701584" w14:paraId="52612A28"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179DC877" w14:textId="77777777" w:rsidR="00A76EC8" w:rsidRPr="00DF7CD3" w:rsidRDefault="00A76EC8" w:rsidP="00A76EC8">
            <w:pPr>
              <w:spacing w:after="0"/>
              <w:rPr>
                <w:rFonts w:ascii="Arial" w:hAnsi="Arial" w:cs="Arial"/>
                <w:color w:val="000000"/>
                <w:sz w:val="20"/>
                <w:szCs w:val="16"/>
              </w:rPr>
            </w:pPr>
            <w:r>
              <w:rPr>
                <w:rFonts w:ascii="Arial" w:hAnsi="Arial" w:cs="Arial"/>
                <w:color w:val="000000"/>
                <w:sz w:val="20"/>
                <w:szCs w:val="16"/>
              </w:rPr>
              <w:t>Confirmed Nosocomial Source*</w:t>
            </w:r>
          </w:p>
        </w:tc>
        <w:tc>
          <w:tcPr>
            <w:tcW w:w="1530" w:type="dxa"/>
            <w:tcBorders>
              <w:top w:val="nil"/>
              <w:left w:val="single" w:sz="4" w:space="0" w:color="auto"/>
              <w:bottom w:val="nil"/>
              <w:right w:val="nil"/>
            </w:tcBorders>
            <w:shd w:val="clear" w:color="auto" w:fill="auto"/>
            <w:vAlign w:val="center"/>
          </w:tcPr>
          <w:p w14:paraId="1B202D0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1,213 (10.9%) </w:t>
            </w:r>
          </w:p>
        </w:tc>
        <w:tc>
          <w:tcPr>
            <w:tcW w:w="1530" w:type="dxa"/>
            <w:tcBorders>
              <w:top w:val="nil"/>
              <w:left w:val="nil"/>
              <w:bottom w:val="nil"/>
              <w:right w:val="nil"/>
            </w:tcBorders>
            <w:shd w:val="clear" w:color="auto" w:fill="auto"/>
            <w:vAlign w:val="center"/>
          </w:tcPr>
          <w:p w14:paraId="3C6C87C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705 (8.1%) </w:t>
            </w:r>
          </w:p>
        </w:tc>
        <w:tc>
          <w:tcPr>
            <w:tcW w:w="1530" w:type="dxa"/>
            <w:tcBorders>
              <w:top w:val="nil"/>
              <w:left w:val="nil"/>
              <w:bottom w:val="nil"/>
              <w:right w:val="single" w:sz="4" w:space="0" w:color="auto"/>
            </w:tcBorders>
            <w:shd w:val="clear" w:color="auto" w:fill="auto"/>
            <w:vAlign w:val="center"/>
          </w:tcPr>
          <w:p w14:paraId="2AA12759"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508 (20.3%) </w:t>
            </w:r>
          </w:p>
        </w:tc>
        <w:tc>
          <w:tcPr>
            <w:tcW w:w="1620" w:type="dxa"/>
            <w:tcBorders>
              <w:top w:val="nil"/>
              <w:left w:val="nil"/>
              <w:bottom w:val="nil"/>
            </w:tcBorders>
            <w:vAlign w:val="center"/>
          </w:tcPr>
          <w:p w14:paraId="036F3D34"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339 (17.5%)</w:t>
            </w:r>
          </w:p>
        </w:tc>
        <w:tc>
          <w:tcPr>
            <w:tcW w:w="1548" w:type="dxa"/>
            <w:tcBorders>
              <w:top w:val="nil"/>
              <w:bottom w:val="nil"/>
              <w:right w:val="single" w:sz="4" w:space="0" w:color="auto"/>
            </w:tcBorders>
            <w:vAlign w:val="center"/>
          </w:tcPr>
          <w:p w14:paraId="5D8BAC63"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332 (17.1%)</w:t>
            </w:r>
          </w:p>
        </w:tc>
      </w:tr>
      <w:tr w:rsidR="00A76EC8" w:rsidRPr="00701584" w14:paraId="1401A292"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749B125A" w14:textId="77777777" w:rsidR="00A76EC8" w:rsidRPr="00D606CA" w:rsidRDefault="00A76EC8" w:rsidP="00A76EC8">
            <w:pPr>
              <w:spacing w:after="0"/>
              <w:rPr>
                <w:rFonts w:ascii="Arial" w:hAnsi="Arial" w:cs="Arial"/>
                <w:iCs/>
                <w:color w:val="000000"/>
                <w:sz w:val="20"/>
                <w:szCs w:val="20"/>
              </w:rPr>
            </w:pPr>
            <w:r>
              <w:rPr>
                <w:rFonts w:ascii="Arial" w:hAnsi="Arial" w:cs="Arial"/>
                <w:iCs/>
                <w:color w:val="000000"/>
                <w:sz w:val="20"/>
                <w:szCs w:val="20"/>
              </w:rPr>
              <w:t>Tachycardia &gt;90 beats/minute</w:t>
            </w:r>
          </w:p>
        </w:tc>
        <w:tc>
          <w:tcPr>
            <w:tcW w:w="1530" w:type="dxa"/>
            <w:tcBorders>
              <w:top w:val="nil"/>
              <w:left w:val="single" w:sz="4" w:space="0" w:color="auto"/>
              <w:bottom w:val="nil"/>
              <w:right w:val="nil"/>
            </w:tcBorders>
            <w:shd w:val="clear" w:color="auto" w:fill="auto"/>
            <w:vAlign w:val="center"/>
          </w:tcPr>
          <w:p w14:paraId="7C1BEE05"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8,442 (75.5%)</w:t>
            </w:r>
          </w:p>
        </w:tc>
        <w:tc>
          <w:tcPr>
            <w:tcW w:w="1530" w:type="dxa"/>
            <w:tcBorders>
              <w:top w:val="nil"/>
              <w:left w:val="nil"/>
              <w:bottom w:val="nil"/>
              <w:right w:val="nil"/>
            </w:tcBorders>
            <w:shd w:val="clear" w:color="auto" w:fill="auto"/>
            <w:vAlign w:val="center"/>
          </w:tcPr>
          <w:p w14:paraId="5687223D"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6,691 (77.1%)</w:t>
            </w:r>
          </w:p>
        </w:tc>
        <w:tc>
          <w:tcPr>
            <w:tcW w:w="1530" w:type="dxa"/>
            <w:tcBorders>
              <w:top w:val="nil"/>
              <w:left w:val="nil"/>
              <w:bottom w:val="nil"/>
              <w:right w:val="single" w:sz="4" w:space="0" w:color="auto"/>
            </w:tcBorders>
            <w:shd w:val="clear" w:color="auto" w:fill="auto"/>
            <w:vAlign w:val="center"/>
          </w:tcPr>
          <w:p w14:paraId="193951B5"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1,751 (69.8%)</w:t>
            </w:r>
          </w:p>
        </w:tc>
        <w:tc>
          <w:tcPr>
            <w:tcW w:w="1620" w:type="dxa"/>
            <w:tcBorders>
              <w:top w:val="nil"/>
              <w:left w:val="nil"/>
              <w:bottom w:val="nil"/>
            </w:tcBorders>
            <w:vAlign w:val="center"/>
          </w:tcPr>
          <w:p w14:paraId="47005489"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1,438 (74.0%)</w:t>
            </w:r>
          </w:p>
        </w:tc>
        <w:tc>
          <w:tcPr>
            <w:tcW w:w="1548" w:type="dxa"/>
            <w:tcBorders>
              <w:top w:val="nil"/>
              <w:bottom w:val="nil"/>
              <w:right w:val="single" w:sz="4" w:space="0" w:color="auto"/>
            </w:tcBorders>
            <w:vAlign w:val="center"/>
          </w:tcPr>
          <w:p w14:paraId="72B7E60E"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1,384 (71.3)</w:t>
            </w:r>
          </w:p>
        </w:tc>
      </w:tr>
      <w:tr w:rsidR="00A76EC8" w:rsidRPr="00701584" w14:paraId="06DA0E32"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1DC67BB4" w14:textId="77777777" w:rsidR="00A76EC8" w:rsidRPr="00D606CA" w:rsidRDefault="00A76EC8" w:rsidP="00A76EC8">
            <w:pPr>
              <w:spacing w:after="0"/>
              <w:rPr>
                <w:rFonts w:ascii="Arial" w:hAnsi="Arial" w:cs="Arial"/>
                <w:iCs/>
                <w:color w:val="000000"/>
                <w:sz w:val="20"/>
                <w:szCs w:val="20"/>
              </w:rPr>
            </w:pPr>
            <w:r>
              <w:rPr>
                <w:rFonts w:ascii="Arial" w:hAnsi="Arial" w:cs="Arial"/>
                <w:iCs/>
                <w:color w:val="000000"/>
                <w:sz w:val="20"/>
                <w:szCs w:val="20"/>
              </w:rPr>
              <w:t>Tachypnea &gt;20 breaths/minute</w:t>
            </w:r>
          </w:p>
        </w:tc>
        <w:tc>
          <w:tcPr>
            <w:tcW w:w="1530" w:type="dxa"/>
            <w:tcBorders>
              <w:top w:val="nil"/>
              <w:left w:val="single" w:sz="4" w:space="0" w:color="auto"/>
              <w:bottom w:val="nil"/>
              <w:right w:val="nil"/>
            </w:tcBorders>
            <w:shd w:val="clear" w:color="auto" w:fill="auto"/>
            <w:vAlign w:val="center"/>
          </w:tcPr>
          <w:p w14:paraId="628478DD"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6,147 (55.0%)</w:t>
            </w:r>
          </w:p>
        </w:tc>
        <w:tc>
          <w:tcPr>
            <w:tcW w:w="1530" w:type="dxa"/>
            <w:tcBorders>
              <w:top w:val="nil"/>
              <w:left w:val="nil"/>
              <w:bottom w:val="nil"/>
              <w:right w:val="nil"/>
            </w:tcBorders>
            <w:shd w:val="clear" w:color="auto" w:fill="auto"/>
            <w:vAlign w:val="center"/>
          </w:tcPr>
          <w:p w14:paraId="0F1D9346"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4,882 (56.3%)</w:t>
            </w:r>
          </w:p>
        </w:tc>
        <w:tc>
          <w:tcPr>
            <w:tcW w:w="1530" w:type="dxa"/>
            <w:tcBorders>
              <w:top w:val="nil"/>
              <w:left w:val="nil"/>
              <w:bottom w:val="nil"/>
              <w:right w:val="single" w:sz="4" w:space="0" w:color="auto"/>
            </w:tcBorders>
            <w:shd w:val="clear" w:color="auto" w:fill="auto"/>
            <w:vAlign w:val="center"/>
          </w:tcPr>
          <w:p w14:paraId="7CA7A7DD"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1,265 (50.4%)</w:t>
            </w:r>
          </w:p>
        </w:tc>
        <w:tc>
          <w:tcPr>
            <w:tcW w:w="1620" w:type="dxa"/>
            <w:tcBorders>
              <w:top w:val="nil"/>
              <w:left w:val="nil"/>
              <w:bottom w:val="nil"/>
            </w:tcBorders>
            <w:vAlign w:val="center"/>
          </w:tcPr>
          <w:p w14:paraId="46DFB568"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1,110 (57.1%)</w:t>
            </w:r>
          </w:p>
        </w:tc>
        <w:tc>
          <w:tcPr>
            <w:tcW w:w="1548" w:type="dxa"/>
            <w:tcBorders>
              <w:top w:val="nil"/>
              <w:bottom w:val="nil"/>
              <w:right w:val="single" w:sz="4" w:space="0" w:color="auto"/>
            </w:tcBorders>
            <w:vAlign w:val="center"/>
          </w:tcPr>
          <w:p w14:paraId="0F3F34D2"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1,014 (52.2%)</w:t>
            </w:r>
          </w:p>
        </w:tc>
      </w:tr>
      <w:tr w:rsidR="00A76EC8" w:rsidRPr="00701584" w14:paraId="5267C519"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765F4696"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Fever</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4023F21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4,040 (36.1%) </w:t>
            </w:r>
          </w:p>
        </w:tc>
        <w:tc>
          <w:tcPr>
            <w:tcW w:w="1530" w:type="dxa"/>
            <w:tcBorders>
              <w:top w:val="nil"/>
              <w:left w:val="nil"/>
              <w:bottom w:val="nil"/>
              <w:right w:val="nil"/>
            </w:tcBorders>
            <w:shd w:val="clear" w:color="auto" w:fill="auto"/>
            <w:vAlign w:val="center"/>
            <w:hideMark/>
          </w:tcPr>
          <w:p w14:paraId="3E0A162C"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3,334 (38.4%) </w:t>
            </w:r>
          </w:p>
        </w:tc>
        <w:tc>
          <w:tcPr>
            <w:tcW w:w="1530" w:type="dxa"/>
            <w:tcBorders>
              <w:top w:val="nil"/>
              <w:left w:val="nil"/>
              <w:bottom w:val="nil"/>
              <w:right w:val="single" w:sz="4" w:space="0" w:color="auto"/>
            </w:tcBorders>
            <w:shd w:val="clear" w:color="auto" w:fill="auto"/>
            <w:vAlign w:val="center"/>
            <w:hideMark/>
          </w:tcPr>
          <w:p w14:paraId="24015EF7"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706 (28.1%) </w:t>
            </w:r>
          </w:p>
        </w:tc>
        <w:tc>
          <w:tcPr>
            <w:tcW w:w="1620" w:type="dxa"/>
            <w:tcBorders>
              <w:top w:val="nil"/>
              <w:left w:val="nil"/>
              <w:bottom w:val="nil"/>
            </w:tcBorders>
            <w:vAlign w:val="center"/>
          </w:tcPr>
          <w:p w14:paraId="63A5006C"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637 (32.8%)</w:t>
            </w:r>
          </w:p>
        </w:tc>
        <w:tc>
          <w:tcPr>
            <w:tcW w:w="1548" w:type="dxa"/>
            <w:tcBorders>
              <w:top w:val="nil"/>
              <w:bottom w:val="nil"/>
              <w:right w:val="single" w:sz="4" w:space="0" w:color="auto"/>
            </w:tcBorders>
            <w:vAlign w:val="center"/>
          </w:tcPr>
          <w:p w14:paraId="4C0E0F24"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553 (28.5%)</w:t>
            </w:r>
          </w:p>
        </w:tc>
      </w:tr>
      <w:tr w:rsidR="00A76EC8" w:rsidRPr="00701584" w14:paraId="4B29EE3D" w14:textId="77777777" w:rsidTr="00C148F7">
        <w:trPr>
          <w:trHeight w:val="230"/>
        </w:trPr>
        <w:tc>
          <w:tcPr>
            <w:tcW w:w="3258" w:type="dxa"/>
            <w:tcBorders>
              <w:top w:val="nil"/>
              <w:left w:val="single" w:sz="4" w:space="0" w:color="auto"/>
              <w:right w:val="single" w:sz="4" w:space="0" w:color="auto"/>
            </w:tcBorders>
            <w:shd w:val="clear" w:color="auto" w:fill="auto"/>
            <w:vAlign w:val="center"/>
            <w:hideMark/>
          </w:tcPr>
          <w:p w14:paraId="720134EF" w14:textId="77777777" w:rsidR="00A76EC8" w:rsidRPr="00DF7CD3" w:rsidRDefault="00A76EC8" w:rsidP="00A76EC8">
            <w:pPr>
              <w:spacing w:after="0"/>
              <w:rPr>
                <w:rFonts w:ascii="Arial" w:hAnsi="Arial" w:cs="Arial"/>
                <w:color w:val="000000"/>
                <w:sz w:val="20"/>
                <w:szCs w:val="16"/>
              </w:rPr>
            </w:pPr>
            <w:r>
              <w:rPr>
                <w:rFonts w:ascii="Arial" w:hAnsi="Arial" w:cs="Arial"/>
                <w:color w:val="000000"/>
                <w:sz w:val="20"/>
                <w:szCs w:val="16"/>
              </w:rPr>
              <w:t>Hypothermia*</w:t>
            </w:r>
          </w:p>
        </w:tc>
        <w:tc>
          <w:tcPr>
            <w:tcW w:w="1530" w:type="dxa"/>
            <w:tcBorders>
              <w:top w:val="nil"/>
              <w:left w:val="single" w:sz="4" w:space="0" w:color="auto"/>
              <w:right w:val="nil"/>
            </w:tcBorders>
            <w:shd w:val="clear" w:color="auto" w:fill="auto"/>
            <w:vAlign w:val="center"/>
            <w:hideMark/>
          </w:tcPr>
          <w:p w14:paraId="3358A165"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1,195 (10.7%) </w:t>
            </w:r>
          </w:p>
        </w:tc>
        <w:tc>
          <w:tcPr>
            <w:tcW w:w="1530" w:type="dxa"/>
            <w:tcBorders>
              <w:top w:val="nil"/>
              <w:left w:val="nil"/>
              <w:right w:val="nil"/>
            </w:tcBorders>
            <w:shd w:val="clear" w:color="auto" w:fill="auto"/>
            <w:vAlign w:val="center"/>
            <w:hideMark/>
          </w:tcPr>
          <w:p w14:paraId="6A34812C"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871 (10.0%) </w:t>
            </w:r>
          </w:p>
        </w:tc>
        <w:tc>
          <w:tcPr>
            <w:tcW w:w="1530" w:type="dxa"/>
            <w:tcBorders>
              <w:top w:val="nil"/>
              <w:left w:val="nil"/>
              <w:right w:val="single" w:sz="4" w:space="0" w:color="auto"/>
            </w:tcBorders>
            <w:shd w:val="clear" w:color="auto" w:fill="auto"/>
            <w:vAlign w:val="center"/>
            <w:hideMark/>
          </w:tcPr>
          <w:p w14:paraId="7B4C5AE2"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324 (12.9%) </w:t>
            </w:r>
          </w:p>
        </w:tc>
        <w:tc>
          <w:tcPr>
            <w:tcW w:w="1620" w:type="dxa"/>
            <w:tcBorders>
              <w:top w:val="nil"/>
              <w:left w:val="nil"/>
            </w:tcBorders>
            <w:vAlign w:val="center"/>
          </w:tcPr>
          <w:p w14:paraId="3B479181"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278 (14.3%)</w:t>
            </w:r>
          </w:p>
        </w:tc>
        <w:tc>
          <w:tcPr>
            <w:tcW w:w="1548" w:type="dxa"/>
            <w:tcBorders>
              <w:top w:val="nil"/>
              <w:right w:val="single" w:sz="4" w:space="0" w:color="auto"/>
            </w:tcBorders>
            <w:vAlign w:val="center"/>
          </w:tcPr>
          <w:p w14:paraId="43A5D003"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236 (12.2%)</w:t>
            </w:r>
          </w:p>
        </w:tc>
      </w:tr>
      <w:tr w:rsidR="00A76EC8" w:rsidRPr="00701584" w14:paraId="3FB1C82B" w14:textId="77777777" w:rsidTr="00C148F7">
        <w:trPr>
          <w:trHeight w:val="230"/>
        </w:trPr>
        <w:tc>
          <w:tcPr>
            <w:tcW w:w="3258" w:type="dxa"/>
            <w:tcBorders>
              <w:top w:val="nil"/>
              <w:left w:val="single" w:sz="4" w:space="0" w:color="auto"/>
              <w:right w:val="single" w:sz="4" w:space="0" w:color="auto"/>
            </w:tcBorders>
            <w:shd w:val="clear" w:color="auto" w:fill="auto"/>
          </w:tcPr>
          <w:p w14:paraId="22A56A43" w14:textId="77777777" w:rsidR="00A76EC8" w:rsidRDefault="00A76EC8" w:rsidP="00A76EC8">
            <w:pPr>
              <w:spacing w:after="0"/>
              <w:rPr>
                <w:rFonts w:ascii="Arial" w:hAnsi="Arial" w:cs="Arial"/>
                <w:color w:val="000000"/>
                <w:sz w:val="20"/>
                <w:szCs w:val="20"/>
              </w:rPr>
            </w:pPr>
            <w:r>
              <w:rPr>
                <w:rFonts w:ascii="Arial" w:hAnsi="Arial" w:cs="Arial"/>
                <w:color w:val="000000"/>
                <w:sz w:val="20"/>
                <w:szCs w:val="20"/>
              </w:rPr>
              <w:t>Leukocytosis</w:t>
            </w:r>
          </w:p>
        </w:tc>
        <w:tc>
          <w:tcPr>
            <w:tcW w:w="1530" w:type="dxa"/>
            <w:tcBorders>
              <w:top w:val="nil"/>
              <w:left w:val="single" w:sz="4" w:space="0" w:color="auto"/>
              <w:right w:val="nil"/>
            </w:tcBorders>
            <w:shd w:val="clear" w:color="auto" w:fill="auto"/>
            <w:noWrap/>
            <w:vAlign w:val="center"/>
          </w:tcPr>
          <w:p w14:paraId="3EEA467C"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6,596 (59.0%)</w:t>
            </w:r>
          </w:p>
        </w:tc>
        <w:tc>
          <w:tcPr>
            <w:tcW w:w="1530" w:type="dxa"/>
            <w:tcBorders>
              <w:top w:val="nil"/>
              <w:left w:val="nil"/>
              <w:right w:val="nil"/>
            </w:tcBorders>
            <w:shd w:val="clear" w:color="auto" w:fill="auto"/>
            <w:vAlign w:val="center"/>
          </w:tcPr>
          <w:p w14:paraId="3C9EDB17"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5,146 (59.3%)</w:t>
            </w:r>
          </w:p>
        </w:tc>
        <w:tc>
          <w:tcPr>
            <w:tcW w:w="1530" w:type="dxa"/>
            <w:tcBorders>
              <w:top w:val="nil"/>
              <w:left w:val="nil"/>
              <w:right w:val="single" w:sz="4" w:space="0" w:color="auto"/>
            </w:tcBorders>
            <w:shd w:val="clear" w:color="auto" w:fill="auto"/>
            <w:vAlign w:val="center"/>
          </w:tcPr>
          <w:p w14:paraId="3547C53E"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1,450 (57.8%)</w:t>
            </w:r>
          </w:p>
        </w:tc>
        <w:tc>
          <w:tcPr>
            <w:tcW w:w="1620" w:type="dxa"/>
            <w:tcBorders>
              <w:top w:val="nil"/>
              <w:left w:val="nil"/>
            </w:tcBorders>
          </w:tcPr>
          <w:p w14:paraId="1D66A4BB"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1,123 (57.8%)</w:t>
            </w:r>
          </w:p>
        </w:tc>
        <w:tc>
          <w:tcPr>
            <w:tcW w:w="1548" w:type="dxa"/>
            <w:tcBorders>
              <w:top w:val="nil"/>
              <w:right w:val="single" w:sz="4" w:space="0" w:color="auto"/>
            </w:tcBorders>
          </w:tcPr>
          <w:p w14:paraId="05CA5F2C"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1,128 (58.1%)</w:t>
            </w:r>
          </w:p>
        </w:tc>
      </w:tr>
      <w:tr w:rsidR="00A76EC8" w:rsidRPr="00701584" w14:paraId="7217C99E" w14:textId="77777777" w:rsidTr="00C148F7">
        <w:trPr>
          <w:trHeight w:val="230"/>
        </w:trPr>
        <w:tc>
          <w:tcPr>
            <w:tcW w:w="3258" w:type="dxa"/>
            <w:tcBorders>
              <w:top w:val="nil"/>
              <w:left w:val="single" w:sz="4" w:space="0" w:color="auto"/>
              <w:right w:val="single" w:sz="4" w:space="0" w:color="auto"/>
            </w:tcBorders>
            <w:shd w:val="clear" w:color="auto" w:fill="auto"/>
          </w:tcPr>
          <w:p w14:paraId="2258E168" w14:textId="77777777" w:rsidR="00A76EC8" w:rsidRDefault="00A76EC8" w:rsidP="00A76EC8">
            <w:pPr>
              <w:spacing w:after="0"/>
              <w:rPr>
                <w:rFonts w:ascii="Arial" w:hAnsi="Arial" w:cs="Arial"/>
                <w:color w:val="000000"/>
                <w:sz w:val="20"/>
                <w:szCs w:val="20"/>
              </w:rPr>
            </w:pPr>
            <w:r>
              <w:rPr>
                <w:rFonts w:ascii="Arial" w:hAnsi="Arial" w:cs="Arial"/>
                <w:color w:val="000000"/>
                <w:sz w:val="20"/>
                <w:szCs w:val="20"/>
              </w:rPr>
              <w:t>Leukocytopenia</w:t>
            </w:r>
          </w:p>
        </w:tc>
        <w:tc>
          <w:tcPr>
            <w:tcW w:w="1530" w:type="dxa"/>
            <w:tcBorders>
              <w:top w:val="nil"/>
              <w:left w:val="single" w:sz="4" w:space="0" w:color="auto"/>
              <w:right w:val="nil"/>
            </w:tcBorders>
            <w:shd w:val="clear" w:color="auto" w:fill="auto"/>
            <w:noWrap/>
            <w:vAlign w:val="center"/>
          </w:tcPr>
          <w:p w14:paraId="46CC06B5"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639 (5.7%)</w:t>
            </w:r>
          </w:p>
        </w:tc>
        <w:tc>
          <w:tcPr>
            <w:tcW w:w="1530" w:type="dxa"/>
            <w:tcBorders>
              <w:top w:val="nil"/>
              <w:left w:val="nil"/>
              <w:right w:val="nil"/>
            </w:tcBorders>
            <w:shd w:val="clear" w:color="auto" w:fill="auto"/>
            <w:vAlign w:val="center"/>
          </w:tcPr>
          <w:p w14:paraId="1C2A22E0"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475 (5.5%)</w:t>
            </w:r>
          </w:p>
        </w:tc>
        <w:tc>
          <w:tcPr>
            <w:tcW w:w="1530" w:type="dxa"/>
            <w:tcBorders>
              <w:top w:val="nil"/>
              <w:left w:val="nil"/>
              <w:right w:val="single" w:sz="4" w:space="0" w:color="auto"/>
            </w:tcBorders>
            <w:shd w:val="clear" w:color="auto" w:fill="auto"/>
            <w:vAlign w:val="center"/>
          </w:tcPr>
          <w:p w14:paraId="1788AC0A"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164 (6.5%)</w:t>
            </w:r>
          </w:p>
        </w:tc>
        <w:tc>
          <w:tcPr>
            <w:tcW w:w="1620" w:type="dxa"/>
            <w:tcBorders>
              <w:top w:val="nil"/>
              <w:left w:val="nil"/>
            </w:tcBorders>
          </w:tcPr>
          <w:p w14:paraId="713CCC1A"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140 (7.2%)</w:t>
            </w:r>
          </w:p>
        </w:tc>
        <w:tc>
          <w:tcPr>
            <w:tcW w:w="1548" w:type="dxa"/>
            <w:tcBorders>
              <w:top w:val="nil"/>
              <w:right w:val="single" w:sz="4" w:space="0" w:color="auto"/>
            </w:tcBorders>
          </w:tcPr>
          <w:p w14:paraId="446F04CB"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127 (6.5%)</w:t>
            </w:r>
          </w:p>
        </w:tc>
      </w:tr>
      <w:tr w:rsidR="00A76EC8" w:rsidRPr="00701584" w14:paraId="56B33AB0" w14:textId="77777777" w:rsidTr="00C148F7">
        <w:trPr>
          <w:trHeight w:val="230"/>
        </w:trPr>
        <w:tc>
          <w:tcPr>
            <w:tcW w:w="3258" w:type="dxa"/>
            <w:tcBorders>
              <w:left w:val="single" w:sz="4" w:space="0" w:color="auto"/>
              <w:bottom w:val="nil"/>
              <w:right w:val="single" w:sz="4" w:space="0" w:color="auto"/>
            </w:tcBorders>
            <w:shd w:val="clear" w:color="auto" w:fill="auto"/>
            <w:vAlign w:val="center"/>
          </w:tcPr>
          <w:p w14:paraId="159EA57E" w14:textId="77777777" w:rsidR="00A76EC8" w:rsidRPr="00DF7CD3" w:rsidRDefault="00A76EC8" w:rsidP="00A76EC8">
            <w:pPr>
              <w:spacing w:after="0"/>
              <w:rPr>
                <w:rFonts w:ascii="Arial" w:hAnsi="Arial" w:cs="Arial"/>
                <w:b/>
                <w:color w:val="000000"/>
                <w:sz w:val="20"/>
                <w:szCs w:val="16"/>
              </w:rPr>
            </w:pPr>
            <w:r>
              <w:rPr>
                <w:rFonts w:ascii="Arial" w:hAnsi="Arial" w:cs="Arial"/>
                <w:b/>
                <w:color w:val="000000"/>
                <w:sz w:val="20"/>
                <w:szCs w:val="16"/>
              </w:rPr>
              <w:t>Severity of Illness</w:t>
            </w:r>
          </w:p>
        </w:tc>
        <w:tc>
          <w:tcPr>
            <w:tcW w:w="1530" w:type="dxa"/>
            <w:tcBorders>
              <w:left w:val="single" w:sz="4" w:space="0" w:color="auto"/>
              <w:bottom w:val="nil"/>
              <w:right w:val="nil"/>
            </w:tcBorders>
            <w:shd w:val="clear" w:color="auto" w:fill="auto"/>
            <w:vAlign w:val="center"/>
          </w:tcPr>
          <w:p w14:paraId="023F8641" w14:textId="77777777" w:rsidR="00A76EC8" w:rsidRPr="00DF7CD3" w:rsidRDefault="00A76EC8" w:rsidP="00A76EC8">
            <w:pPr>
              <w:spacing w:after="0"/>
              <w:ind w:left="-126" w:right="-90"/>
              <w:jc w:val="center"/>
              <w:rPr>
                <w:rFonts w:ascii="Arial" w:hAnsi="Arial" w:cs="Arial"/>
                <w:sz w:val="20"/>
                <w:szCs w:val="16"/>
              </w:rPr>
            </w:pPr>
          </w:p>
        </w:tc>
        <w:tc>
          <w:tcPr>
            <w:tcW w:w="1530" w:type="dxa"/>
            <w:tcBorders>
              <w:left w:val="nil"/>
              <w:bottom w:val="nil"/>
              <w:right w:val="nil"/>
            </w:tcBorders>
            <w:shd w:val="clear" w:color="auto" w:fill="auto"/>
            <w:vAlign w:val="center"/>
          </w:tcPr>
          <w:p w14:paraId="5A0E16EC" w14:textId="77777777" w:rsidR="00A76EC8" w:rsidRPr="00DF7CD3" w:rsidRDefault="00A76EC8" w:rsidP="00A76EC8">
            <w:pPr>
              <w:spacing w:after="0"/>
              <w:ind w:left="-126" w:right="-90"/>
              <w:jc w:val="center"/>
              <w:rPr>
                <w:rFonts w:ascii="Arial" w:hAnsi="Arial" w:cs="Arial"/>
                <w:sz w:val="20"/>
                <w:szCs w:val="16"/>
              </w:rPr>
            </w:pPr>
          </w:p>
        </w:tc>
        <w:tc>
          <w:tcPr>
            <w:tcW w:w="1530" w:type="dxa"/>
            <w:tcBorders>
              <w:left w:val="nil"/>
              <w:bottom w:val="nil"/>
              <w:right w:val="single" w:sz="4" w:space="0" w:color="auto"/>
            </w:tcBorders>
            <w:shd w:val="clear" w:color="auto" w:fill="auto"/>
            <w:vAlign w:val="center"/>
          </w:tcPr>
          <w:p w14:paraId="69923520" w14:textId="77777777" w:rsidR="00A76EC8" w:rsidRPr="00DF7CD3" w:rsidRDefault="00A76EC8" w:rsidP="00A76EC8">
            <w:pPr>
              <w:spacing w:after="0"/>
              <w:ind w:left="-126" w:right="-90"/>
              <w:jc w:val="center"/>
              <w:rPr>
                <w:rFonts w:ascii="Arial" w:hAnsi="Arial" w:cs="Arial"/>
                <w:sz w:val="20"/>
                <w:szCs w:val="16"/>
              </w:rPr>
            </w:pPr>
          </w:p>
        </w:tc>
        <w:tc>
          <w:tcPr>
            <w:tcW w:w="1620" w:type="dxa"/>
            <w:tcBorders>
              <w:left w:val="nil"/>
              <w:bottom w:val="nil"/>
            </w:tcBorders>
          </w:tcPr>
          <w:p w14:paraId="290CF1DB" w14:textId="77777777" w:rsidR="00A76EC8" w:rsidRPr="00473334" w:rsidRDefault="00A76EC8" w:rsidP="00A76EC8">
            <w:pPr>
              <w:spacing w:after="0"/>
              <w:ind w:left="-126" w:right="-90"/>
              <w:jc w:val="center"/>
              <w:rPr>
                <w:rFonts w:ascii="Arial" w:hAnsi="Arial" w:cs="Arial"/>
                <w:sz w:val="20"/>
                <w:szCs w:val="20"/>
              </w:rPr>
            </w:pPr>
          </w:p>
        </w:tc>
        <w:tc>
          <w:tcPr>
            <w:tcW w:w="1548" w:type="dxa"/>
            <w:tcBorders>
              <w:bottom w:val="nil"/>
              <w:right w:val="single" w:sz="4" w:space="0" w:color="auto"/>
            </w:tcBorders>
          </w:tcPr>
          <w:p w14:paraId="70A7213E" w14:textId="77777777" w:rsidR="00A76EC8" w:rsidRPr="00473334" w:rsidRDefault="00A76EC8" w:rsidP="00A76EC8">
            <w:pPr>
              <w:spacing w:after="0"/>
              <w:ind w:left="-126" w:right="-90"/>
              <w:jc w:val="center"/>
              <w:rPr>
                <w:rFonts w:ascii="Arial" w:hAnsi="Arial" w:cs="Arial"/>
                <w:sz w:val="20"/>
                <w:szCs w:val="20"/>
              </w:rPr>
            </w:pPr>
          </w:p>
        </w:tc>
      </w:tr>
      <w:tr w:rsidR="00A76EC8" w:rsidRPr="00701584" w14:paraId="6A80FD66"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34DF52D2" w14:textId="77777777" w:rsidR="00A76EC8" w:rsidRPr="00DF7CD3" w:rsidRDefault="00A76EC8" w:rsidP="00A76EC8">
            <w:pPr>
              <w:spacing w:after="0"/>
              <w:rPr>
                <w:rFonts w:ascii="Arial" w:hAnsi="Arial" w:cs="Arial"/>
                <w:color w:val="000000"/>
                <w:sz w:val="20"/>
                <w:szCs w:val="16"/>
              </w:rPr>
            </w:pPr>
            <w:r>
              <w:rPr>
                <w:rFonts w:ascii="Arial" w:hAnsi="Arial" w:cs="Arial"/>
                <w:color w:val="000000"/>
                <w:sz w:val="20"/>
                <w:szCs w:val="16"/>
              </w:rPr>
              <w:t xml:space="preserve">Initial Lactate </w:t>
            </w:r>
            <w:r w:rsidRPr="00DF7CD3">
              <w:rPr>
                <w:rFonts w:ascii="Arial" w:hAnsi="Arial" w:cs="Arial"/>
                <w:color w:val="000000"/>
                <w:sz w:val="20"/>
                <w:szCs w:val="16"/>
              </w:rPr>
              <w:t>(</w:t>
            </w:r>
            <w:proofErr w:type="spellStart"/>
            <w:r w:rsidRPr="00DF7CD3">
              <w:rPr>
                <w:rFonts w:ascii="Arial" w:hAnsi="Arial" w:cs="Arial"/>
                <w:color w:val="000000"/>
                <w:sz w:val="20"/>
                <w:szCs w:val="16"/>
              </w:rPr>
              <w:t>mmol</w:t>
            </w:r>
            <w:proofErr w:type="spellEnd"/>
            <w:r w:rsidRPr="00DF7CD3">
              <w:rPr>
                <w:rFonts w:ascii="Arial" w:hAnsi="Arial" w:cs="Arial"/>
                <w:color w:val="000000"/>
                <w:sz w:val="20"/>
                <w:szCs w:val="16"/>
              </w:rPr>
              <w:t>/L)</w:t>
            </w:r>
            <w:r>
              <w:rPr>
                <w:rFonts w:ascii="Arial" w:hAnsi="Arial" w:cs="Arial"/>
                <w:color w:val="000000"/>
                <w:sz w:val="20"/>
                <w:szCs w:val="16"/>
              </w:rPr>
              <w:t xml:space="preserve"> - mean(SD)*</w:t>
            </w:r>
          </w:p>
        </w:tc>
        <w:tc>
          <w:tcPr>
            <w:tcW w:w="1530" w:type="dxa"/>
            <w:tcBorders>
              <w:top w:val="nil"/>
              <w:left w:val="single" w:sz="4" w:space="0" w:color="auto"/>
              <w:bottom w:val="nil"/>
              <w:right w:val="nil"/>
            </w:tcBorders>
            <w:shd w:val="clear" w:color="auto" w:fill="auto"/>
            <w:vAlign w:val="center"/>
            <w:hideMark/>
          </w:tcPr>
          <w:p w14:paraId="767916CE"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3</w:t>
            </w:r>
            <w:r w:rsidRPr="00DF7CD3">
              <w:rPr>
                <w:rFonts w:ascii="Arial" w:hAnsi="Arial" w:cs="Arial"/>
                <w:sz w:val="20"/>
                <w:szCs w:val="16"/>
              </w:rPr>
              <w:t>.</w:t>
            </w:r>
            <w:r>
              <w:rPr>
                <w:rFonts w:ascii="Arial" w:hAnsi="Arial" w:cs="Arial"/>
                <w:sz w:val="20"/>
                <w:szCs w:val="16"/>
              </w:rPr>
              <w:t>2</w:t>
            </w:r>
            <w:r w:rsidRPr="00DF7CD3">
              <w:rPr>
                <w:rFonts w:ascii="Arial" w:hAnsi="Arial" w:cs="Arial"/>
                <w:sz w:val="20"/>
                <w:szCs w:val="16"/>
              </w:rPr>
              <w:t xml:space="preserve"> (</w:t>
            </w:r>
            <w:r>
              <w:rPr>
                <w:rFonts w:ascii="Arial" w:hAnsi="Arial" w:cs="Arial"/>
                <w:sz w:val="20"/>
                <w:szCs w:val="16"/>
              </w:rPr>
              <w:t>2.4</w:t>
            </w:r>
            <w:r w:rsidRPr="00DF7CD3">
              <w:rPr>
                <w:rFonts w:ascii="Arial" w:hAnsi="Arial" w:cs="Arial"/>
                <w:sz w:val="20"/>
                <w:szCs w:val="16"/>
              </w:rPr>
              <w:t>)</w:t>
            </w:r>
          </w:p>
        </w:tc>
        <w:tc>
          <w:tcPr>
            <w:tcW w:w="1530" w:type="dxa"/>
            <w:tcBorders>
              <w:top w:val="nil"/>
              <w:left w:val="nil"/>
              <w:bottom w:val="nil"/>
              <w:right w:val="nil"/>
            </w:tcBorders>
            <w:shd w:val="clear" w:color="auto" w:fill="auto"/>
            <w:vAlign w:val="center"/>
            <w:hideMark/>
          </w:tcPr>
          <w:p w14:paraId="1E6CD8D8"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3.3</w:t>
            </w:r>
            <w:r w:rsidRPr="00DF7CD3">
              <w:rPr>
                <w:rFonts w:ascii="Arial" w:hAnsi="Arial" w:cs="Arial"/>
                <w:sz w:val="20"/>
                <w:szCs w:val="16"/>
              </w:rPr>
              <w:t xml:space="preserve"> (</w:t>
            </w:r>
            <w:r>
              <w:rPr>
                <w:rFonts w:ascii="Arial" w:hAnsi="Arial" w:cs="Arial"/>
                <w:sz w:val="20"/>
                <w:szCs w:val="16"/>
              </w:rPr>
              <w:t>2.3</w:t>
            </w:r>
            <w:r w:rsidRPr="00DF7CD3">
              <w:rPr>
                <w:rFonts w:ascii="Arial" w:hAnsi="Arial" w:cs="Arial"/>
                <w:sz w:val="20"/>
                <w:szCs w:val="16"/>
              </w:rPr>
              <w:t>)</w:t>
            </w:r>
          </w:p>
        </w:tc>
        <w:tc>
          <w:tcPr>
            <w:tcW w:w="1530" w:type="dxa"/>
            <w:tcBorders>
              <w:top w:val="nil"/>
              <w:left w:val="nil"/>
              <w:bottom w:val="nil"/>
              <w:right w:val="single" w:sz="4" w:space="0" w:color="auto"/>
            </w:tcBorders>
            <w:shd w:val="clear" w:color="auto" w:fill="auto"/>
            <w:vAlign w:val="center"/>
            <w:hideMark/>
          </w:tcPr>
          <w:p w14:paraId="50C7A19F"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3.1</w:t>
            </w:r>
            <w:r w:rsidRPr="00DF7CD3">
              <w:rPr>
                <w:rFonts w:ascii="Arial" w:hAnsi="Arial" w:cs="Arial"/>
                <w:sz w:val="20"/>
                <w:szCs w:val="16"/>
              </w:rPr>
              <w:t xml:space="preserve"> (</w:t>
            </w:r>
            <w:r>
              <w:rPr>
                <w:rFonts w:ascii="Arial" w:hAnsi="Arial" w:cs="Arial"/>
                <w:sz w:val="20"/>
                <w:szCs w:val="16"/>
              </w:rPr>
              <w:t>2.7</w:t>
            </w:r>
            <w:r w:rsidRPr="00DF7CD3">
              <w:rPr>
                <w:rFonts w:ascii="Arial" w:hAnsi="Arial" w:cs="Arial"/>
                <w:sz w:val="20"/>
                <w:szCs w:val="16"/>
              </w:rPr>
              <w:t>)</w:t>
            </w:r>
          </w:p>
        </w:tc>
        <w:tc>
          <w:tcPr>
            <w:tcW w:w="1620" w:type="dxa"/>
            <w:tcBorders>
              <w:top w:val="nil"/>
              <w:left w:val="nil"/>
              <w:bottom w:val="nil"/>
            </w:tcBorders>
            <w:vAlign w:val="center"/>
          </w:tcPr>
          <w:p w14:paraId="159031B9"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3</w:t>
            </w:r>
            <w:r w:rsidRPr="00473334">
              <w:rPr>
                <w:rFonts w:ascii="Arial" w:hAnsi="Arial" w:cs="Arial"/>
                <w:color w:val="000000"/>
                <w:sz w:val="20"/>
                <w:szCs w:val="20"/>
              </w:rPr>
              <w:t>.</w:t>
            </w:r>
            <w:r>
              <w:rPr>
                <w:rFonts w:ascii="Arial" w:hAnsi="Arial" w:cs="Arial"/>
                <w:color w:val="000000"/>
                <w:sz w:val="20"/>
                <w:szCs w:val="20"/>
              </w:rPr>
              <w:t>1</w:t>
            </w:r>
            <w:r w:rsidRPr="00473334">
              <w:rPr>
                <w:rFonts w:ascii="Arial" w:hAnsi="Arial" w:cs="Arial"/>
                <w:color w:val="000000"/>
                <w:sz w:val="20"/>
                <w:szCs w:val="20"/>
              </w:rPr>
              <w:t xml:space="preserve"> (</w:t>
            </w:r>
            <w:r>
              <w:rPr>
                <w:rFonts w:ascii="Arial" w:hAnsi="Arial" w:cs="Arial"/>
                <w:color w:val="000000"/>
                <w:sz w:val="20"/>
                <w:szCs w:val="20"/>
              </w:rPr>
              <w:t>2.2</w:t>
            </w:r>
            <w:r w:rsidRPr="00473334">
              <w:rPr>
                <w:rFonts w:ascii="Arial" w:hAnsi="Arial" w:cs="Arial"/>
                <w:color w:val="000000"/>
                <w:sz w:val="20"/>
                <w:szCs w:val="20"/>
              </w:rPr>
              <w:t>)</w:t>
            </w:r>
          </w:p>
        </w:tc>
        <w:tc>
          <w:tcPr>
            <w:tcW w:w="1548" w:type="dxa"/>
            <w:tcBorders>
              <w:top w:val="nil"/>
              <w:bottom w:val="nil"/>
              <w:right w:val="single" w:sz="4" w:space="0" w:color="auto"/>
            </w:tcBorders>
            <w:vAlign w:val="center"/>
          </w:tcPr>
          <w:p w14:paraId="57D03B54"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3</w:t>
            </w:r>
            <w:r w:rsidRPr="00473334">
              <w:rPr>
                <w:rFonts w:ascii="Arial" w:hAnsi="Arial" w:cs="Arial"/>
                <w:color w:val="000000"/>
                <w:sz w:val="20"/>
                <w:szCs w:val="20"/>
              </w:rPr>
              <w:t>.</w:t>
            </w:r>
            <w:r>
              <w:rPr>
                <w:rFonts w:ascii="Arial" w:hAnsi="Arial" w:cs="Arial"/>
                <w:color w:val="000000"/>
                <w:sz w:val="20"/>
                <w:szCs w:val="20"/>
              </w:rPr>
              <w:t>1</w:t>
            </w:r>
            <w:r w:rsidRPr="00473334">
              <w:rPr>
                <w:rFonts w:ascii="Arial" w:hAnsi="Arial" w:cs="Arial"/>
                <w:color w:val="000000"/>
                <w:sz w:val="20"/>
                <w:szCs w:val="20"/>
              </w:rPr>
              <w:t xml:space="preserve"> (</w:t>
            </w:r>
            <w:r>
              <w:rPr>
                <w:rFonts w:ascii="Arial" w:hAnsi="Arial" w:cs="Arial"/>
                <w:color w:val="000000"/>
                <w:sz w:val="20"/>
                <w:szCs w:val="20"/>
              </w:rPr>
              <w:t>2.7</w:t>
            </w:r>
            <w:r w:rsidRPr="00473334">
              <w:rPr>
                <w:rFonts w:ascii="Arial" w:hAnsi="Arial" w:cs="Arial"/>
                <w:color w:val="000000"/>
                <w:sz w:val="20"/>
                <w:szCs w:val="20"/>
              </w:rPr>
              <w:t>)</w:t>
            </w:r>
          </w:p>
        </w:tc>
      </w:tr>
      <w:tr w:rsidR="00A76EC8" w:rsidRPr="00701584" w14:paraId="3CC201A5"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718623DE" w14:textId="77777777" w:rsidR="00A76EC8" w:rsidRDefault="00A76EC8" w:rsidP="00A76EC8">
            <w:pPr>
              <w:spacing w:after="0"/>
              <w:rPr>
                <w:rFonts w:ascii="Arial" w:hAnsi="Arial" w:cs="Arial"/>
                <w:color w:val="000000"/>
                <w:sz w:val="20"/>
                <w:szCs w:val="16"/>
              </w:rPr>
            </w:pPr>
            <w:r>
              <w:rPr>
                <w:rFonts w:ascii="Arial" w:hAnsi="Arial" w:cs="Arial"/>
                <w:color w:val="000000"/>
                <w:sz w:val="20"/>
                <w:szCs w:val="16"/>
              </w:rPr>
              <w:t xml:space="preserve">Lactate &gt;4.0 </w:t>
            </w:r>
            <w:proofErr w:type="spellStart"/>
            <w:r>
              <w:rPr>
                <w:rFonts w:ascii="Arial" w:hAnsi="Arial" w:cs="Arial"/>
                <w:color w:val="000000"/>
                <w:sz w:val="20"/>
                <w:szCs w:val="16"/>
              </w:rPr>
              <w:t>mmol</w:t>
            </w:r>
            <w:proofErr w:type="spellEnd"/>
            <w:r>
              <w:rPr>
                <w:rFonts w:ascii="Arial" w:hAnsi="Arial" w:cs="Arial"/>
                <w:color w:val="000000"/>
                <w:sz w:val="20"/>
                <w:szCs w:val="16"/>
              </w:rPr>
              <w:t>/L</w:t>
            </w:r>
          </w:p>
        </w:tc>
        <w:tc>
          <w:tcPr>
            <w:tcW w:w="1530" w:type="dxa"/>
            <w:tcBorders>
              <w:top w:val="nil"/>
              <w:left w:val="single" w:sz="4" w:space="0" w:color="auto"/>
              <w:bottom w:val="nil"/>
              <w:right w:val="nil"/>
            </w:tcBorders>
            <w:shd w:val="clear" w:color="auto" w:fill="auto"/>
            <w:vAlign w:val="center"/>
          </w:tcPr>
          <w:p w14:paraId="421AF87B"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2,458 (23.0%)</w:t>
            </w:r>
          </w:p>
        </w:tc>
        <w:tc>
          <w:tcPr>
            <w:tcW w:w="1530" w:type="dxa"/>
            <w:tcBorders>
              <w:top w:val="nil"/>
              <w:left w:val="nil"/>
              <w:bottom w:val="nil"/>
              <w:right w:val="nil"/>
            </w:tcBorders>
            <w:shd w:val="clear" w:color="auto" w:fill="auto"/>
            <w:vAlign w:val="center"/>
          </w:tcPr>
          <w:p w14:paraId="1FBB51D7"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1,977 (23.2%)</w:t>
            </w:r>
          </w:p>
        </w:tc>
        <w:tc>
          <w:tcPr>
            <w:tcW w:w="1530" w:type="dxa"/>
            <w:tcBorders>
              <w:top w:val="nil"/>
              <w:left w:val="nil"/>
              <w:bottom w:val="nil"/>
              <w:right w:val="single" w:sz="4" w:space="0" w:color="auto"/>
            </w:tcBorders>
            <w:shd w:val="clear" w:color="auto" w:fill="auto"/>
            <w:vAlign w:val="center"/>
          </w:tcPr>
          <w:p w14:paraId="703F5FB2" w14:textId="77777777" w:rsidR="00A76EC8" w:rsidRPr="00DF7CD3" w:rsidRDefault="00A76EC8" w:rsidP="00A76EC8">
            <w:pPr>
              <w:spacing w:after="0"/>
              <w:ind w:left="-126" w:right="-90"/>
              <w:jc w:val="center"/>
              <w:rPr>
                <w:rFonts w:ascii="Arial" w:hAnsi="Arial" w:cs="Arial"/>
                <w:sz w:val="20"/>
                <w:szCs w:val="16"/>
              </w:rPr>
            </w:pPr>
            <w:r>
              <w:rPr>
                <w:rFonts w:ascii="Arial" w:hAnsi="Arial" w:cs="Arial"/>
                <w:sz w:val="20"/>
                <w:szCs w:val="16"/>
              </w:rPr>
              <w:t>481 (22.2%)</w:t>
            </w:r>
          </w:p>
        </w:tc>
        <w:tc>
          <w:tcPr>
            <w:tcW w:w="1620" w:type="dxa"/>
            <w:tcBorders>
              <w:top w:val="nil"/>
              <w:left w:val="nil"/>
              <w:bottom w:val="nil"/>
            </w:tcBorders>
            <w:vAlign w:val="center"/>
          </w:tcPr>
          <w:p w14:paraId="4A473184"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450 (23.2%)</w:t>
            </w:r>
          </w:p>
        </w:tc>
        <w:tc>
          <w:tcPr>
            <w:tcW w:w="1548" w:type="dxa"/>
            <w:tcBorders>
              <w:top w:val="nil"/>
              <w:bottom w:val="nil"/>
              <w:right w:val="single" w:sz="4" w:space="0" w:color="auto"/>
            </w:tcBorders>
            <w:vAlign w:val="center"/>
          </w:tcPr>
          <w:p w14:paraId="2843668D"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435 (22.4%)</w:t>
            </w:r>
          </w:p>
        </w:tc>
      </w:tr>
      <w:tr w:rsidR="00A76EC8" w:rsidRPr="00701584" w14:paraId="54D8AB11"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79C5E949"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Hypotension</w:t>
            </w:r>
            <w:r>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3893874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3,714 (33.2%) </w:t>
            </w:r>
          </w:p>
        </w:tc>
        <w:tc>
          <w:tcPr>
            <w:tcW w:w="1530" w:type="dxa"/>
            <w:tcBorders>
              <w:top w:val="nil"/>
              <w:left w:val="nil"/>
              <w:bottom w:val="nil"/>
              <w:right w:val="nil"/>
            </w:tcBorders>
            <w:shd w:val="clear" w:color="auto" w:fill="auto"/>
            <w:vAlign w:val="center"/>
            <w:hideMark/>
          </w:tcPr>
          <w:p w14:paraId="0EB8E4F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2,551 (29.4%) </w:t>
            </w:r>
          </w:p>
        </w:tc>
        <w:tc>
          <w:tcPr>
            <w:tcW w:w="1530" w:type="dxa"/>
            <w:tcBorders>
              <w:top w:val="nil"/>
              <w:left w:val="nil"/>
              <w:bottom w:val="nil"/>
              <w:right w:val="single" w:sz="4" w:space="0" w:color="auto"/>
            </w:tcBorders>
            <w:shd w:val="clear" w:color="auto" w:fill="auto"/>
            <w:vAlign w:val="center"/>
            <w:hideMark/>
          </w:tcPr>
          <w:p w14:paraId="66359AF8"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1,163 (46.4%) </w:t>
            </w:r>
          </w:p>
        </w:tc>
        <w:tc>
          <w:tcPr>
            <w:tcW w:w="1620" w:type="dxa"/>
            <w:tcBorders>
              <w:top w:val="nil"/>
              <w:left w:val="nil"/>
              <w:bottom w:val="nil"/>
            </w:tcBorders>
            <w:vAlign w:val="center"/>
          </w:tcPr>
          <w:p w14:paraId="31870CDD"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872 (44.9%)</w:t>
            </w:r>
          </w:p>
        </w:tc>
        <w:tc>
          <w:tcPr>
            <w:tcW w:w="1548" w:type="dxa"/>
            <w:tcBorders>
              <w:top w:val="nil"/>
              <w:bottom w:val="nil"/>
              <w:right w:val="single" w:sz="4" w:space="0" w:color="auto"/>
            </w:tcBorders>
            <w:vAlign w:val="center"/>
          </w:tcPr>
          <w:p w14:paraId="25053BED"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849 (43.7%)</w:t>
            </w:r>
          </w:p>
        </w:tc>
      </w:tr>
      <w:tr w:rsidR="00A76EC8" w:rsidRPr="00701584" w14:paraId="1749D2D9"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17279F51"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 xml:space="preserve">Altered Gas </w:t>
            </w:r>
            <w:proofErr w:type="spellStart"/>
            <w:r w:rsidRPr="00DF7CD3">
              <w:rPr>
                <w:rFonts w:ascii="Arial" w:hAnsi="Arial" w:cs="Arial"/>
                <w:color w:val="000000"/>
                <w:sz w:val="20"/>
                <w:szCs w:val="16"/>
              </w:rPr>
              <w:t>Exchange</w:t>
            </w:r>
            <w:r w:rsidRPr="00DF7CD3">
              <w:rPr>
                <w:rFonts w:ascii="Arial" w:hAnsi="Arial" w:cs="Arial"/>
                <w:color w:val="000000"/>
                <w:sz w:val="20"/>
                <w:szCs w:val="16"/>
                <w:vertAlign w:val="superscript"/>
              </w:rPr>
              <w:t>b</w:t>
            </w:r>
            <w:proofErr w:type="spellEnd"/>
            <w:r w:rsidRPr="00325C04">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6617AEBB"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2,412 (21.6%) </w:t>
            </w:r>
          </w:p>
        </w:tc>
        <w:tc>
          <w:tcPr>
            <w:tcW w:w="1530" w:type="dxa"/>
            <w:tcBorders>
              <w:top w:val="nil"/>
              <w:left w:val="nil"/>
              <w:bottom w:val="nil"/>
              <w:right w:val="nil"/>
            </w:tcBorders>
            <w:shd w:val="clear" w:color="auto" w:fill="auto"/>
            <w:vAlign w:val="center"/>
            <w:hideMark/>
          </w:tcPr>
          <w:p w14:paraId="359720A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1,606 (18.5%) </w:t>
            </w:r>
          </w:p>
        </w:tc>
        <w:tc>
          <w:tcPr>
            <w:tcW w:w="1530" w:type="dxa"/>
            <w:tcBorders>
              <w:top w:val="nil"/>
              <w:left w:val="nil"/>
              <w:bottom w:val="nil"/>
              <w:right w:val="single" w:sz="4" w:space="0" w:color="auto"/>
            </w:tcBorders>
            <w:shd w:val="clear" w:color="auto" w:fill="auto"/>
            <w:vAlign w:val="center"/>
            <w:hideMark/>
          </w:tcPr>
          <w:p w14:paraId="01CBEBDA"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806 (32.1%) </w:t>
            </w:r>
          </w:p>
        </w:tc>
        <w:tc>
          <w:tcPr>
            <w:tcW w:w="1620" w:type="dxa"/>
            <w:tcBorders>
              <w:top w:val="nil"/>
              <w:left w:val="nil"/>
              <w:bottom w:val="nil"/>
            </w:tcBorders>
            <w:vAlign w:val="center"/>
          </w:tcPr>
          <w:p w14:paraId="0723CD7C"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604 (31.1%)</w:t>
            </w:r>
          </w:p>
        </w:tc>
        <w:tc>
          <w:tcPr>
            <w:tcW w:w="1548" w:type="dxa"/>
            <w:tcBorders>
              <w:top w:val="nil"/>
              <w:bottom w:val="nil"/>
              <w:right w:val="single" w:sz="4" w:space="0" w:color="auto"/>
            </w:tcBorders>
            <w:vAlign w:val="center"/>
          </w:tcPr>
          <w:p w14:paraId="038EC5E0"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622 (32.0%)</w:t>
            </w:r>
          </w:p>
        </w:tc>
      </w:tr>
      <w:tr w:rsidR="00A76EC8" w:rsidRPr="00701584" w14:paraId="5834CC1C"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062A870F"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Altered Mental Status</w:t>
            </w:r>
            <w:r w:rsidRPr="00325C04">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288C0E30"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2,675 (23.9%) </w:t>
            </w:r>
          </w:p>
        </w:tc>
        <w:tc>
          <w:tcPr>
            <w:tcW w:w="1530" w:type="dxa"/>
            <w:tcBorders>
              <w:top w:val="nil"/>
              <w:left w:val="nil"/>
              <w:bottom w:val="nil"/>
              <w:right w:val="nil"/>
            </w:tcBorders>
            <w:shd w:val="clear" w:color="auto" w:fill="auto"/>
            <w:vAlign w:val="center"/>
            <w:hideMark/>
          </w:tcPr>
          <w:p w14:paraId="200902B5"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2,060 (23.8%) </w:t>
            </w:r>
          </w:p>
        </w:tc>
        <w:tc>
          <w:tcPr>
            <w:tcW w:w="1530" w:type="dxa"/>
            <w:tcBorders>
              <w:top w:val="nil"/>
              <w:left w:val="nil"/>
              <w:bottom w:val="nil"/>
              <w:right w:val="single" w:sz="4" w:space="0" w:color="auto"/>
            </w:tcBorders>
            <w:shd w:val="clear" w:color="auto" w:fill="auto"/>
            <w:vAlign w:val="center"/>
            <w:hideMark/>
          </w:tcPr>
          <w:p w14:paraId="14B9A73C"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615 (24.5%) </w:t>
            </w:r>
          </w:p>
        </w:tc>
        <w:tc>
          <w:tcPr>
            <w:tcW w:w="1620" w:type="dxa"/>
            <w:tcBorders>
              <w:top w:val="nil"/>
              <w:left w:val="nil"/>
              <w:bottom w:val="nil"/>
            </w:tcBorders>
            <w:vAlign w:val="center"/>
          </w:tcPr>
          <w:p w14:paraId="3151553B"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461 (23.7%)</w:t>
            </w:r>
          </w:p>
        </w:tc>
        <w:tc>
          <w:tcPr>
            <w:tcW w:w="1548" w:type="dxa"/>
            <w:tcBorders>
              <w:top w:val="nil"/>
              <w:bottom w:val="nil"/>
              <w:right w:val="single" w:sz="4" w:space="0" w:color="auto"/>
            </w:tcBorders>
            <w:vAlign w:val="center"/>
          </w:tcPr>
          <w:p w14:paraId="183F8743"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469 (24.2%)</w:t>
            </w:r>
          </w:p>
        </w:tc>
      </w:tr>
      <w:tr w:rsidR="00A76EC8" w:rsidRPr="00701584" w14:paraId="325C05BD"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hideMark/>
          </w:tcPr>
          <w:p w14:paraId="7C8745E7" w14:textId="77777777" w:rsidR="00A76EC8" w:rsidRPr="00DF7CD3" w:rsidRDefault="00A76EC8" w:rsidP="00A76EC8">
            <w:pPr>
              <w:spacing w:after="0"/>
              <w:rPr>
                <w:rFonts w:ascii="Arial" w:hAnsi="Arial" w:cs="Arial"/>
                <w:color w:val="000000"/>
                <w:sz w:val="20"/>
                <w:szCs w:val="16"/>
              </w:rPr>
            </w:pPr>
            <w:r w:rsidRPr="00DF7CD3">
              <w:rPr>
                <w:rFonts w:ascii="Arial" w:hAnsi="Arial" w:cs="Arial"/>
                <w:color w:val="000000"/>
                <w:sz w:val="20"/>
                <w:szCs w:val="16"/>
              </w:rPr>
              <w:t xml:space="preserve">Acute Kidney </w:t>
            </w:r>
            <w:proofErr w:type="spellStart"/>
            <w:r w:rsidRPr="00DF7CD3">
              <w:rPr>
                <w:rFonts w:ascii="Arial" w:hAnsi="Arial" w:cs="Arial"/>
                <w:color w:val="000000"/>
                <w:sz w:val="20"/>
                <w:szCs w:val="16"/>
              </w:rPr>
              <w:t>Injury</w:t>
            </w:r>
            <w:r w:rsidRPr="00DF7CD3">
              <w:rPr>
                <w:rFonts w:ascii="Arial" w:hAnsi="Arial" w:cs="Arial"/>
                <w:color w:val="000000"/>
                <w:sz w:val="20"/>
                <w:szCs w:val="16"/>
                <w:vertAlign w:val="superscript"/>
              </w:rPr>
              <w:t>c</w:t>
            </w:r>
            <w:proofErr w:type="spellEnd"/>
            <w:r w:rsidRPr="00325C04">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hideMark/>
          </w:tcPr>
          <w:p w14:paraId="6C91B929"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2,328 (20.8%) </w:t>
            </w:r>
          </w:p>
        </w:tc>
        <w:tc>
          <w:tcPr>
            <w:tcW w:w="1530" w:type="dxa"/>
            <w:tcBorders>
              <w:top w:val="nil"/>
              <w:left w:val="nil"/>
              <w:bottom w:val="nil"/>
              <w:right w:val="nil"/>
            </w:tcBorders>
            <w:shd w:val="clear" w:color="auto" w:fill="auto"/>
            <w:vAlign w:val="center"/>
            <w:hideMark/>
          </w:tcPr>
          <w:p w14:paraId="2D7938AE"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1,847 (21.3%) </w:t>
            </w:r>
          </w:p>
        </w:tc>
        <w:tc>
          <w:tcPr>
            <w:tcW w:w="1530" w:type="dxa"/>
            <w:tcBorders>
              <w:top w:val="nil"/>
              <w:left w:val="nil"/>
              <w:bottom w:val="nil"/>
              <w:right w:val="single" w:sz="4" w:space="0" w:color="auto"/>
            </w:tcBorders>
            <w:shd w:val="clear" w:color="auto" w:fill="auto"/>
            <w:vAlign w:val="center"/>
            <w:hideMark/>
          </w:tcPr>
          <w:p w14:paraId="1E803C83" w14:textId="77777777" w:rsidR="00A76EC8" w:rsidRPr="00DF7CD3"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481 (19.2%) </w:t>
            </w:r>
          </w:p>
        </w:tc>
        <w:tc>
          <w:tcPr>
            <w:tcW w:w="1620" w:type="dxa"/>
            <w:tcBorders>
              <w:top w:val="nil"/>
              <w:left w:val="nil"/>
              <w:bottom w:val="nil"/>
            </w:tcBorders>
            <w:vAlign w:val="center"/>
          </w:tcPr>
          <w:p w14:paraId="389E2423"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380 (19.6%)</w:t>
            </w:r>
          </w:p>
        </w:tc>
        <w:tc>
          <w:tcPr>
            <w:tcW w:w="1548" w:type="dxa"/>
            <w:tcBorders>
              <w:top w:val="nil"/>
              <w:bottom w:val="nil"/>
              <w:right w:val="single" w:sz="4" w:space="0" w:color="auto"/>
            </w:tcBorders>
            <w:vAlign w:val="center"/>
          </w:tcPr>
          <w:p w14:paraId="25DD358C" w14:textId="77777777" w:rsidR="00A76EC8" w:rsidRPr="00473334"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372 (19.2%)</w:t>
            </w:r>
          </w:p>
        </w:tc>
      </w:tr>
      <w:tr w:rsidR="00A76EC8" w:rsidRPr="00701584" w14:paraId="76A55177"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0F550140" w14:textId="77777777" w:rsidR="00A76EC8" w:rsidRPr="00DF7CD3" w:rsidRDefault="00A76EC8" w:rsidP="00A76EC8">
            <w:pPr>
              <w:spacing w:after="0"/>
              <w:rPr>
                <w:rFonts w:ascii="Arial" w:hAnsi="Arial" w:cs="Arial"/>
                <w:color w:val="000000"/>
                <w:sz w:val="20"/>
                <w:szCs w:val="16"/>
              </w:rPr>
            </w:pPr>
            <w:proofErr w:type="spellStart"/>
            <w:r w:rsidRPr="00DF7CD3">
              <w:rPr>
                <w:rFonts w:ascii="Arial" w:hAnsi="Arial" w:cs="Arial"/>
                <w:color w:val="000000"/>
                <w:sz w:val="20"/>
                <w:szCs w:val="16"/>
              </w:rPr>
              <w:t>Coagulopathy</w:t>
            </w:r>
            <w:r w:rsidRPr="00DF7CD3">
              <w:rPr>
                <w:rFonts w:ascii="Arial" w:hAnsi="Arial" w:cs="Arial"/>
                <w:color w:val="000000"/>
                <w:sz w:val="20"/>
                <w:szCs w:val="16"/>
                <w:vertAlign w:val="superscript"/>
              </w:rPr>
              <w:t>d</w:t>
            </w:r>
            <w:proofErr w:type="spellEnd"/>
            <w:r w:rsidRPr="00325C04">
              <w:rPr>
                <w:rFonts w:ascii="Arial" w:hAnsi="Arial" w:cs="Arial"/>
                <w:color w:val="000000"/>
                <w:sz w:val="20"/>
                <w:szCs w:val="16"/>
              </w:rPr>
              <w:t>*</w:t>
            </w:r>
          </w:p>
        </w:tc>
        <w:tc>
          <w:tcPr>
            <w:tcW w:w="1530" w:type="dxa"/>
            <w:tcBorders>
              <w:top w:val="nil"/>
              <w:left w:val="single" w:sz="4" w:space="0" w:color="auto"/>
              <w:bottom w:val="nil"/>
              <w:right w:val="nil"/>
            </w:tcBorders>
            <w:shd w:val="clear" w:color="auto" w:fill="auto"/>
            <w:vAlign w:val="center"/>
          </w:tcPr>
          <w:p w14:paraId="4B1DA2B5"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637 (5.7%)</w:t>
            </w:r>
          </w:p>
        </w:tc>
        <w:tc>
          <w:tcPr>
            <w:tcW w:w="1530" w:type="dxa"/>
            <w:tcBorders>
              <w:top w:val="nil"/>
              <w:left w:val="nil"/>
              <w:bottom w:val="nil"/>
              <w:right w:val="nil"/>
            </w:tcBorders>
            <w:shd w:val="clear" w:color="auto" w:fill="auto"/>
            <w:vAlign w:val="center"/>
          </w:tcPr>
          <w:p w14:paraId="4AF7C4E8"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501 (5.8%)</w:t>
            </w:r>
          </w:p>
        </w:tc>
        <w:tc>
          <w:tcPr>
            <w:tcW w:w="1530" w:type="dxa"/>
            <w:tcBorders>
              <w:top w:val="nil"/>
              <w:left w:val="nil"/>
              <w:bottom w:val="nil"/>
              <w:right w:val="single" w:sz="4" w:space="0" w:color="auto"/>
            </w:tcBorders>
            <w:shd w:val="clear" w:color="auto" w:fill="auto"/>
            <w:vAlign w:val="center"/>
          </w:tcPr>
          <w:p w14:paraId="1E49D93E" w14:textId="77777777" w:rsidR="00A76EC8" w:rsidRPr="00DF7CD3"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136 (5.4%)</w:t>
            </w:r>
          </w:p>
        </w:tc>
        <w:tc>
          <w:tcPr>
            <w:tcW w:w="1620" w:type="dxa"/>
            <w:tcBorders>
              <w:top w:val="nil"/>
              <w:left w:val="nil"/>
              <w:bottom w:val="nil"/>
            </w:tcBorders>
            <w:vAlign w:val="center"/>
          </w:tcPr>
          <w:p w14:paraId="121FD4A7"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114 (5.9%)</w:t>
            </w:r>
          </w:p>
        </w:tc>
        <w:tc>
          <w:tcPr>
            <w:tcW w:w="1548" w:type="dxa"/>
            <w:tcBorders>
              <w:top w:val="nil"/>
              <w:bottom w:val="nil"/>
              <w:right w:val="single" w:sz="4" w:space="0" w:color="auto"/>
            </w:tcBorders>
            <w:vAlign w:val="center"/>
          </w:tcPr>
          <w:p w14:paraId="6A2DB5D3" w14:textId="77777777" w:rsidR="00A76EC8" w:rsidRPr="00473334" w:rsidRDefault="00A76EC8" w:rsidP="00A76EC8">
            <w:pPr>
              <w:spacing w:after="0"/>
              <w:ind w:left="-126" w:right="-90"/>
              <w:jc w:val="center"/>
              <w:rPr>
                <w:rFonts w:ascii="Arial" w:hAnsi="Arial" w:cs="Arial"/>
                <w:color w:val="000000"/>
                <w:sz w:val="20"/>
                <w:szCs w:val="20"/>
              </w:rPr>
            </w:pPr>
            <w:r>
              <w:rPr>
                <w:rFonts w:ascii="Arial" w:hAnsi="Arial" w:cs="Arial"/>
                <w:color w:val="000000"/>
                <w:sz w:val="20"/>
                <w:szCs w:val="20"/>
              </w:rPr>
              <w:t>264 (13.6%)</w:t>
            </w:r>
          </w:p>
        </w:tc>
      </w:tr>
      <w:tr w:rsidR="00A76EC8" w:rsidRPr="00701584" w14:paraId="63A073F2" w14:textId="77777777" w:rsidTr="00C148F7">
        <w:trPr>
          <w:trHeight w:val="230"/>
        </w:trPr>
        <w:tc>
          <w:tcPr>
            <w:tcW w:w="3258" w:type="dxa"/>
            <w:tcBorders>
              <w:top w:val="nil"/>
              <w:left w:val="single" w:sz="4" w:space="0" w:color="auto"/>
              <w:bottom w:val="single" w:sz="4" w:space="0" w:color="auto"/>
              <w:right w:val="single" w:sz="4" w:space="0" w:color="auto"/>
            </w:tcBorders>
            <w:shd w:val="clear" w:color="auto" w:fill="auto"/>
            <w:vAlign w:val="center"/>
          </w:tcPr>
          <w:p w14:paraId="3F333F10" w14:textId="77777777" w:rsidR="00A76EC8" w:rsidRPr="001F33D0" w:rsidRDefault="00A76EC8" w:rsidP="00A76EC8">
            <w:pPr>
              <w:spacing w:after="0"/>
              <w:rPr>
                <w:rFonts w:ascii="Arial" w:hAnsi="Arial" w:cs="Arial"/>
                <w:color w:val="000000" w:themeColor="text1"/>
                <w:sz w:val="20"/>
                <w:szCs w:val="16"/>
              </w:rPr>
            </w:pPr>
            <w:proofErr w:type="spellStart"/>
            <w:r>
              <w:rPr>
                <w:rFonts w:ascii="Arial" w:hAnsi="Arial" w:cs="Arial"/>
                <w:color w:val="000000"/>
                <w:sz w:val="20"/>
                <w:szCs w:val="16"/>
              </w:rPr>
              <w:t>Thrombocytopenia</w:t>
            </w:r>
            <w:r>
              <w:rPr>
                <w:rFonts w:ascii="Arial" w:hAnsi="Arial" w:cs="Arial"/>
                <w:color w:val="000000"/>
                <w:sz w:val="20"/>
                <w:szCs w:val="16"/>
                <w:vertAlign w:val="superscript"/>
              </w:rPr>
              <w:t>e</w:t>
            </w:r>
            <w:proofErr w:type="spellEnd"/>
            <w:r w:rsidRPr="00325C04">
              <w:rPr>
                <w:rFonts w:ascii="Arial" w:hAnsi="Arial" w:cs="Arial"/>
                <w:color w:val="000000"/>
                <w:sz w:val="20"/>
                <w:szCs w:val="16"/>
              </w:rPr>
              <w:t>*</w:t>
            </w:r>
          </w:p>
        </w:tc>
        <w:tc>
          <w:tcPr>
            <w:tcW w:w="1530" w:type="dxa"/>
            <w:tcBorders>
              <w:top w:val="nil"/>
              <w:left w:val="single" w:sz="4" w:space="0" w:color="auto"/>
              <w:bottom w:val="single" w:sz="4" w:space="0" w:color="auto"/>
              <w:right w:val="nil"/>
            </w:tcBorders>
            <w:shd w:val="clear" w:color="auto" w:fill="auto"/>
            <w:vAlign w:val="center"/>
          </w:tcPr>
          <w:p w14:paraId="2C0713F8" w14:textId="77777777" w:rsidR="00A76EC8"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1,</w:t>
            </w:r>
            <w:r>
              <w:rPr>
                <w:rFonts w:ascii="Arial" w:hAnsi="Arial" w:cs="Arial"/>
                <w:color w:val="000000"/>
                <w:sz w:val="20"/>
                <w:szCs w:val="16"/>
              </w:rPr>
              <w:t>24</w:t>
            </w:r>
            <w:r w:rsidRPr="00DF7CD3">
              <w:rPr>
                <w:rFonts w:ascii="Arial" w:hAnsi="Arial" w:cs="Arial"/>
                <w:color w:val="000000"/>
                <w:sz w:val="20"/>
                <w:szCs w:val="16"/>
              </w:rPr>
              <w:t>0 (1</w:t>
            </w:r>
            <w:r>
              <w:rPr>
                <w:rFonts w:ascii="Arial" w:hAnsi="Arial" w:cs="Arial"/>
                <w:color w:val="000000"/>
                <w:sz w:val="20"/>
                <w:szCs w:val="16"/>
              </w:rPr>
              <w:t>1</w:t>
            </w:r>
            <w:r w:rsidRPr="00DF7CD3">
              <w:rPr>
                <w:rFonts w:ascii="Arial" w:hAnsi="Arial" w:cs="Arial"/>
                <w:color w:val="000000"/>
                <w:sz w:val="20"/>
                <w:szCs w:val="16"/>
              </w:rPr>
              <w:t>.</w:t>
            </w:r>
            <w:r>
              <w:rPr>
                <w:rFonts w:ascii="Arial" w:hAnsi="Arial" w:cs="Arial"/>
                <w:color w:val="000000"/>
                <w:sz w:val="20"/>
                <w:szCs w:val="16"/>
              </w:rPr>
              <w:t>1</w:t>
            </w:r>
            <w:r w:rsidRPr="00DF7CD3">
              <w:rPr>
                <w:rFonts w:ascii="Arial" w:hAnsi="Arial" w:cs="Arial"/>
                <w:color w:val="000000"/>
                <w:sz w:val="20"/>
                <w:szCs w:val="16"/>
              </w:rPr>
              <w:t xml:space="preserve">%) </w:t>
            </w:r>
          </w:p>
        </w:tc>
        <w:tc>
          <w:tcPr>
            <w:tcW w:w="1530" w:type="dxa"/>
            <w:tcBorders>
              <w:top w:val="nil"/>
              <w:left w:val="nil"/>
              <w:bottom w:val="single" w:sz="4" w:space="0" w:color="auto"/>
              <w:right w:val="nil"/>
            </w:tcBorders>
            <w:shd w:val="clear" w:color="auto" w:fill="auto"/>
            <w:vAlign w:val="center"/>
          </w:tcPr>
          <w:p w14:paraId="2695CBB1" w14:textId="77777777" w:rsidR="00A76EC8" w:rsidRDefault="00A76EC8" w:rsidP="00A76EC8">
            <w:pPr>
              <w:spacing w:after="0"/>
              <w:ind w:left="-126" w:right="-90"/>
              <w:jc w:val="center"/>
              <w:rPr>
                <w:rFonts w:ascii="Arial" w:hAnsi="Arial" w:cs="Arial"/>
                <w:color w:val="000000"/>
                <w:sz w:val="20"/>
                <w:szCs w:val="16"/>
              </w:rPr>
            </w:pPr>
            <w:r w:rsidRPr="00DF7CD3">
              <w:rPr>
                <w:rFonts w:ascii="Arial" w:hAnsi="Arial" w:cs="Arial"/>
                <w:color w:val="000000"/>
                <w:sz w:val="20"/>
                <w:szCs w:val="16"/>
              </w:rPr>
              <w:t xml:space="preserve"> </w:t>
            </w:r>
            <w:r>
              <w:rPr>
                <w:rFonts w:ascii="Arial" w:hAnsi="Arial" w:cs="Arial"/>
                <w:color w:val="000000"/>
                <w:sz w:val="20"/>
                <w:szCs w:val="16"/>
              </w:rPr>
              <w:t>910</w:t>
            </w:r>
            <w:r w:rsidRPr="00DF7CD3">
              <w:rPr>
                <w:rFonts w:ascii="Arial" w:hAnsi="Arial" w:cs="Arial"/>
                <w:color w:val="000000"/>
                <w:sz w:val="20"/>
                <w:szCs w:val="16"/>
              </w:rPr>
              <w:t xml:space="preserve"> (1</w:t>
            </w:r>
            <w:r>
              <w:rPr>
                <w:rFonts w:ascii="Arial" w:hAnsi="Arial" w:cs="Arial"/>
                <w:color w:val="000000"/>
                <w:sz w:val="20"/>
                <w:szCs w:val="16"/>
              </w:rPr>
              <w:t>0</w:t>
            </w:r>
            <w:r w:rsidRPr="00DF7CD3">
              <w:rPr>
                <w:rFonts w:ascii="Arial" w:hAnsi="Arial" w:cs="Arial"/>
                <w:color w:val="000000"/>
                <w:sz w:val="20"/>
                <w:szCs w:val="16"/>
              </w:rPr>
              <w:t>.</w:t>
            </w:r>
            <w:r>
              <w:rPr>
                <w:rFonts w:ascii="Arial" w:hAnsi="Arial" w:cs="Arial"/>
                <w:color w:val="000000"/>
                <w:sz w:val="20"/>
                <w:szCs w:val="16"/>
              </w:rPr>
              <w:t>5</w:t>
            </w:r>
            <w:r w:rsidRPr="00DF7CD3">
              <w:rPr>
                <w:rFonts w:ascii="Arial" w:hAnsi="Arial" w:cs="Arial"/>
                <w:color w:val="000000"/>
                <w:sz w:val="20"/>
                <w:szCs w:val="16"/>
              </w:rPr>
              <w:t>%)</w:t>
            </w:r>
          </w:p>
        </w:tc>
        <w:tc>
          <w:tcPr>
            <w:tcW w:w="1530" w:type="dxa"/>
            <w:tcBorders>
              <w:top w:val="nil"/>
              <w:left w:val="nil"/>
              <w:bottom w:val="single" w:sz="4" w:space="0" w:color="auto"/>
              <w:right w:val="single" w:sz="4" w:space="0" w:color="auto"/>
            </w:tcBorders>
            <w:shd w:val="clear" w:color="auto" w:fill="auto"/>
            <w:vAlign w:val="center"/>
          </w:tcPr>
          <w:p w14:paraId="5BB3FA6C" w14:textId="77777777" w:rsidR="00A76EC8" w:rsidRDefault="00A76EC8" w:rsidP="00A76EC8">
            <w:pPr>
              <w:spacing w:after="0"/>
              <w:ind w:left="-126" w:right="-90"/>
              <w:jc w:val="center"/>
              <w:rPr>
                <w:rFonts w:ascii="Arial" w:hAnsi="Arial" w:cs="Arial"/>
                <w:color w:val="000000"/>
                <w:sz w:val="20"/>
                <w:szCs w:val="16"/>
              </w:rPr>
            </w:pPr>
            <w:r>
              <w:rPr>
                <w:rFonts w:ascii="Arial" w:hAnsi="Arial" w:cs="Arial"/>
                <w:color w:val="000000"/>
                <w:sz w:val="20"/>
                <w:szCs w:val="16"/>
              </w:rPr>
              <w:t>330</w:t>
            </w:r>
            <w:r w:rsidRPr="00DF7CD3">
              <w:rPr>
                <w:rFonts w:ascii="Arial" w:hAnsi="Arial" w:cs="Arial"/>
                <w:color w:val="000000"/>
                <w:sz w:val="20"/>
                <w:szCs w:val="16"/>
              </w:rPr>
              <w:t xml:space="preserve"> (1</w:t>
            </w:r>
            <w:r>
              <w:rPr>
                <w:rFonts w:ascii="Arial" w:hAnsi="Arial" w:cs="Arial"/>
                <w:color w:val="000000"/>
                <w:sz w:val="20"/>
                <w:szCs w:val="16"/>
              </w:rPr>
              <w:t>3</w:t>
            </w:r>
            <w:r w:rsidRPr="00DF7CD3">
              <w:rPr>
                <w:rFonts w:ascii="Arial" w:hAnsi="Arial" w:cs="Arial"/>
                <w:color w:val="000000"/>
                <w:sz w:val="20"/>
                <w:szCs w:val="16"/>
              </w:rPr>
              <w:t>.</w:t>
            </w:r>
            <w:r>
              <w:rPr>
                <w:rFonts w:ascii="Arial" w:hAnsi="Arial" w:cs="Arial"/>
                <w:color w:val="000000"/>
                <w:sz w:val="20"/>
                <w:szCs w:val="16"/>
              </w:rPr>
              <w:t>2</w:t>
            </w:r>
            <w:r w:rsidRPr="00DF7CD3">
              <w:rPr>
                <w:rFonts w:ascii="Arial" w:hAnsi="Arial" w:cs="Arial"/>
                <w:color w:val="000000"/>
                <w:sz w:val="20"/>
                <w:szCs w:val="16"/>
              </w:rPr>
              <w:t xml:space="preserve">%) </w:t>
            </w:r>
          </w:p>
        </w:tc>
        <w:tc>
          <w:tcPr>
            <w:tcW w:w="1620" w:type="dxa"/>
            <w:tcBorders>
              <w:top w:val="nil"/>
              <w:left w:val="nil"/>
              <w:bottom w:val="single" w:sz="4" w:space="0" w:color="auto"/>
            </w:tcBorders>
            <w:vAlign w:val="center"/>
          </w:tcPr>
          <w:p w14:paraId="229AF91F" w14:textId="77777777" w:rsidR="00A76EC8"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323 (16.6%)</w:t>
            </w:r>
          </w:p>
        </w:tc>
        <w:tc>
          <w:tcPr>
            <w:tcW w:w="1548" w:type="dxa"/>
            <w:tcBorders>
              <w:top w:val="nil"/>
              <w:bottom w:val="single" w:sz="4" w:space="0" w:color="auto"/>
              <w:right w:val="single" w:sz="4" w:space="0" w:color="auto"/>
            </w:tcBorders>
            <w:vAlign w:val="center"/>
          </w:tcPr>
          <w:p w14:paraId="2E53E5B7" w14:textId="77777777" w:rsidR="00A76EC8" w:rsidRDefault="00A76EC8" w:rsidP="00A76EC8">
            <w:pPr>
              <w:spacing w:after="0"/>
              <w:ind w:left="-126" w:right="-90"/>
              <w:jc w:val="center"/>
              <w:rPr>
                <w:rFonts w:ascii="Arial" w:hAnsi="Arial" w:cs="Arial"/>
                <w:color w:val="000000"/>
                <w:sz w:val="20"/>
                <w:szCs w:val="20"/>
              </w:rPr>
            </w:pPr>
            <w:r w:rsidRPr="00473334">
              <w:rPr>
                <w:rFonts w:ascii="Arial" w:hAnsi="Arial" w:cs="Arial"/>
                <w:color w:val="000000"/>
                <w:sz w:val="20"/>
                <w:szCs w:val="20"/>
              </w:rPr>
              <w:t>356 (18.3%)</w:t>
            </w:r>
          </w:p>
        </w:tc>
      </w:tr>
      <w:tr w:rsidR="00A76EC8" w:rsidRPr="00701584" w14:paraId="2CB73632" w14:textId="77777777" w:rsidTr="00C148F7">
        <w:trPr>
          <w:trHeight w:val="470"/>
        </w:trPr>
        <w:tc>
          <w:tcPr>
            <w:tcW w:w="110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8CFC48" w14:textId="77777777" w:rsidR="00A76EC8" w:rsidRDefault="00A76EC8" w:rsidP="00A76EC8">
            <w:pPr>
              <w:spacing w:after="0" w:line="240" w:lineRule="auto"/>
              <w:rPr>
                <w:rFonts w:ascii="Arial" w:hAnsi="Arial" w:cs="Arial"/>
                <w:color w:val="000000"/>
                <w:sz w:val="20"/>
                <w:szCs w:val="20"/>
              </w:rPr>
            </w:pPr>
            <w:r>
              <w:rPr>
                <w:rFonts w:ascii="Arial" w:hAnsi="Arial" w:cs="Arial"/>
                <w:color w:val="000000"/>
                <w:sz w:val="20"/>
                <w:szCs w:val="20"/>
              </w:rPr>
              <w:t>All data presented as frequency (percentage) unless otherwise indicated.</w:t>
            </w:r>
          </w:p>
          <w:p w14:paraId="44B7292D" w14:textId="77777777" w:rsidR="00A76EC8" w:rsidRPr="00325C04" w:rsidRDefault="00A76EC8" w:rsidP="00A76EC8">
            <w:pPr>
              <w:spacing w:after="0" w:line="240" w:lineRule="auto"/>
              <w:rPr>
                <w:rFonts w:ascii="Arial" w:hAnsi="Arial" w:cs="Arial"/>
                <w:color w:val="000000"/>
                <w:sz w:val="20"/>
                <w:szCs w:val="20"/>
              </w:rPr>
            </w:pPr>
            <w:r w:rsidRPr="00325C04">
              <w:rPr>
                <w:rFonts w:ascii="Arial" w:hAnsi="Arial" w:cs="Arial"/>
                <w:color w:val="000000"/>
                <w:sz w:val="20"/>
                <w:szCs w:val="20"/>
              </w:rPr>
              <w:t>*</w:t>
            </w:r>
            <w:r>
              <w:rPr>
                <w:rFonts w:ascii="Arial" w:hAnsi="Arial" w:cs="Arial"/>
                <w:color w:val="000000"/>
                <w:sz w:val="20"/>
                <w:szCs w:val="20"/>
              </w:rPr>
              <w:t xml:space="preserve"> Indicates variable was used in generating propensity score for matching.</w:t>
            </w:r>
          </w:p>
          <w:p w14:paraId="41B38714" w14:textId="77777777" w:rsidR="00A76EC8" w:rsidRPr="00325C04" w:rsidRDefault="00A76EC8" w:rsidP="00A76EC8">
            <w:pPr>
              <w:spacing w:after="0" w:line="240" w:lineRule="auto"/>
              <w:rPr>
                <w:rFonts w:ascii="Arial" w:hAnsi="Arial" w:cs="Arial"/>
                <w:color w:val="000000"/>
                <w:sz w:val="20"/>
                <w:szCs w:val="20"/>
              </w:rPr>
            </w:pPr>
            <w:proofErr w:type="gramStart"/>
            <w:r w:rsidRPr="00325C04">
              <w:rPr>
                <w:rFonts w:ascii="Arial" w:hAnsi="Arial" w:cs="Arial"/>
                <w:color w:val="000000"/>
                <w:sz w:val="20"/>
                <w:szCs w:val="20"/>
                <w:vertAlign w:val="superscript"/>
              </w:rPr>
              <w:t>a</w:t>
            </w:r>
            <w:proofErr w:type="gramEnd"/>
            <w:r w:rsidRPr="00325C04">
              <w:rPr>
                <w:rFonts w:ascii="Arial" w:hAnsi="Arial" w:cs="Arial"/>
                <w:color w:val="000000"/>
                <w:sz w:val="20"/>
                <w:szCs w:val="20"/>
              </w:rPr>
              <w:t xml:space="preserve"> Comorbidities reflect status at time</w:t>
            </w:r>
            <w:r>
              <w:rPr>
                <w:rFonts w:ascii="Arial" w:hAnsi="Arial" w:cs="Arial"/>
                <w:color w:val="000000"/>
                <w:sz w:val="20"/>
                <w:szCs w:val="20"/>
              </w:rPr>
              <w:t xml:space="preserve"> </w:t>
            </w:r>
            <w:r w:rsidRPr="00325C04">
              <w:rPr>
                <w:rFonts w:ascii="Arial" w:hAnsi="Arial" w:cs="Arial"/>
                <w:color w:val="000000"/>
                <w:sz w:val="20"/>
                <w:szCs w:val="20"/>
              </w:rPr>
              <w:t>zero, and would not reflect conditions develop</w:t>
            </w:r>
            <w:r>
              <w:rPr>
                <w:rFonts w:ascii="Arial" w:hAnsi="Arial" w:cs="Arial"/>
                <w:color w:val="000000"/>
                <w:sz w:val="20"/>
                <w:szCs w:val="20"/>
              </w:rPr>
              <w:t>ing</w:t>
            </w:r>
            <w:r w:rsidRPr="00325C04">
              <w:rPr>
                <w:rFonts w:ascii="Arial" w:hAnsi="Arial" w:cs="Arial"/>
                <w:color w:val="000000"/>
                <w:sz w:val="20"/>
                <w:szCs w:val="20"/>
              </w:rPr>
              <w:t xml:space="preserve"> subsequently during hospital stay.</w:t>
            </w:r>
          </w:p>
          <w:p w14:paraId="1F51DB0A" w14:textId="77777777" w:rsidR="00A76EC8" w:rsidRPr="00325C04" w:rsidRDefault="00A76EC8" w:rsidP="00A76EC8">
            <w:pPr>
              <w:spacing w:after="0" w:line="240" w:lineRule="auto"/>
              <w:rPr>
                <w:rFonts w:ascii="Arial" w:hAnsi="Arial" w:cs="Arial"/>
                <w:color w:val="000000"/>
                <w:sz w:val="20"/>
                <w:szCs w:val="20"/>
              </w:rPr>
            </w:pPr>
            <w:proofErr w:type="gramStart"/>
            <w:r w:rsidRPr="00325C04">
              <w:rPr>
                <w:rFonts w:ascii="Arial" w:hAnsi="Arial" w:cs="Arial"/>
                <w:color w:val="000000"/>
                <w:sz w:val="20"/>
                <w:szCs w:val="20"/>
                <w:vertAlign w:val="superscript"/>
              </w:rPr>
              <w:t>b</w:t>
            </w:r>
            <w:proofErr w:type="gramEnd"/>
            <w:r w:rsidRPr="00325C04">
              <w:rPr>
                <w:rFonts w:ascii="Arial" w:hAnsi="Arial" w:cs="Arial"/>
                <w:color w:val="000000"/>
                <w:sz w:val="20"/>
                <w:szCs w:val="20"/>
              </w:rPr>
              <w:t xml:space="preserve"> Altered Gas Exchange defined as PaO2 /FiO2 &lt;300 or an increased O2 requirement to maintain SaO2 &gt;90%.</w:t>
            </w:r>
          </w:p>
          <w:p w14:paraId="224CE122" w14:textId="77777777" w:rsidR="00A76EC8" w:rsidRPr="00325C04" w:rsidRDefault="00A76EC8" w:rsidP="00A76EC8">
            <w:pPr>
              <w:spacing w:after="0" w:line="240" w:lineRule="auto"/>
              <w:rPr>
                <w:rFonts w:ascii="Arial" w:hAnsi="Arial" w:cs="Arial"/>
                <w:color w:val="000000"/>
                <w:sz w:val="20"/>
                <w:szCs w:val="20"/>
              </w:rPr>
            </w:pPr>
            <w:proofErr w:type="gramStart"/>
            <w:r w:rsidRPr="00325C04">
              <w:rPr>
                <w:rFonts w:ascii="Arial" w:hAnsi="Arial" w:cs="Arial"/>
                <w:color w:val="000000"/>
                <w:sz w:val="20"/>
                <w:szCs w:val="20"/>
                <w:vertAlign w:val="superscript"/>
              </w:rPr>
              <w:t>c</w:t>
            </w:r>
            <w:proofErr w:type="gramEnd"/>
            <w:r w:rsidRPr="00325C04">
              <w:rPr>
                <w:rFonts w:ascii="Arial" w:hAnsi="Arial" w:cs="Arial"/>
                <w:color w:val="000000"/>
                <w:sz w:val="20"/>
                <w:szCs w:val="20"/>
              </w:rPr>
              <w:t xml:space="preserve"> Acute Kidney Injury defined as creatinine &gt;2.0 or 50% increase from a known baseline.</w:t>
            </w:r>
          </w:p>
          <w:p w14:paraId="7A65884D" w14:textId="77777777" w:rsidR="00A76EC8" w:rsidRDefault="00A76EC8" w:rsidP="00A76EC8">
            <w:pPr>
              <w:spacing w:after="0" w:line="240" w:lineRule="auto"/>
              <w:rPr>
                <w:rFonts w:ascii="Arial" w:hAnsi="Arial" w:cs="Arial"/>
                <w:color w:val="000000"/>
                <w:sz w:val="20"/>
                <w:szCs w:val="20"/>
              </w:rPr>
            </w:pPr>
            <w:proofErr w:type="gramStart"/>
            <w:r w:rsidRPr="00325C04">
              <w:rPr>
                <w:rFonts w:ascii="Arial" w:hAnsi="Arial" w:cs="Arial"/>
                <w:color w:val="000000"/>
                <w:sz w:val="20"/>
                <w:szCs w:val="20"/>
                <w:vertAlign w:val="superscript"/>
              </w:rPr>
              <w:t>d</w:t>
            </w:r>
            <w:proofErr w:type="gramEnd"/>
            <w:r w:rsidRPr="00325C04">
              <w:rPr>
                <w:rFonts w:ascii="Arial" w:hAnsi="Arial" w:cs="Arial"/>
                <w:color w:val="000000"/>
                <w:sz w:val="20"/>
                <w:szCs w:val="20"/>
                <w:vertAlign w:val="superscript"/>
              </w:rPr>
              <w:t xml:space="preserve"> </w:t>
            </w:r>
            <w:r w:rsidRPr="00325C04">
              <w:rPr>
                <w:rFonts w:ascii="Arial" w:hAnsi="Arial" w:cs="Arial"/>
                <w:color w:val="000000"/>
                <w:sz w:val="20"/>
                <w:szCs w:val="20"/>
              </w:rPr>
              <w:t>Coagulopathy defined as intern</w:t>
            </w:r>
            <w:r>
              <w:rPr>
                <w:rFonts w:ascii="Arial" w:hAnsi="Arial" w:cs="Arial"/>
                <w:color w:val="000000"/>
                <w:sz w:val="20"/>
                <w:szCs w:val="20"/>
              </w:rPr>
              <w:t xml:space="preserve">ational normalized ratio &gt;1.5 </w:t>
            </w:r>
            <w:r w:rsidRPr="00325C04">
              <w:rPr>
                <w:rFonts w:ascii="Arial" w:hAnsi="Arial" w:cs="Arial"/>
                <w:color w:val="000000"/>
                <w:sz w:val="20"/>
                <w:szCs w:val="20"/>
              </w:rPr>
              <w:t>or partial thromboplastin time &gt;60 seconds.</w:t>
            </w:r>
          </w:p>
          <w:p w14:paraId="242ADF98" w14:textId="77777777" w:rsidR="00A76EC8" w:rsidRDefault="00A76EC8" w:rsidP="00A76EC8">
            <w:pPr>
              <w:spacing w:after="0" w:line="240" w:lineRule="auto"/>
              <w:rPr>
                <w:rFonts w:ascii="Arial" w:hAnsi="Arial" w:cs="Arial"/>
                <w:color w:val="000000"/>
                <w:sz w:val="20"/>
                <w:szCs w:val="20"/>
                <w:vertAlign w:val="superscript"/>
              </w:rPr>
            </w:pPr>
            <w:proofErr w:type="spellStart"/>
            <w:r>
              <w:rPr>
                <w:rFonts w:ascii="Arial" w:hAnsi="Arial" w:cs="Arial"/>
                <w:color w:val="000000"/>
                <w:sz w:val="20"/>
                <w:szCs w:val="20"/>
                <w:vertAlign w:val="superscript"/>
              </w:rPr>
              <w:t>e</w:t>
            </w:r>
            <w:r>
              <w:rPr>
                <w:rFonts w:ascii="Arial" w:hAnsi="Arial" w:cs="Arial"/>
                <w:color w:val="000000"/>
                <w:sz w:val="20"/>
                <w:szCs w:val="20"/>
              </w:rPr>
              <w:t>Thrombocytopenia</w:t>
            </w:r>
            <w:proofErr w:type="spellEnd"/>
            <w:r w:rsidRPr="00325C04">
              <w:rPr>
                <w:rFonts w:ascii="Arial" w:hAnsi="Arial" w:cs="Arial"/>
                <w:color w:val="000000"/>
                <w:sz w:val="20"/>
                <w:szCs w:val="20"/>
              </w:rPr>
              <w:t xml:space="preserve"> defined as platelet count &lt;150,000 cells/µm</w:t>
            </w:r>
            <w:r w:rsidRPr="00325C04">
              <w:rPr>
                <w:rFonts w:ascii="Arial" w:hAnsi="Arial" w:cs="Arial"/>
                <w:color w:val="000000"/>
                <w:sz w:val="20"/>
                <w:szCs w:val="20"/>
                <w:vertAlign w:val="superscript"/>
              </w:rPr>
              <w:t>3</w:t>
            </w:r>
          </w:p>
          <w:p w14:paraId="1BD09A2B" w14:textId="77777777" w:rsidR="00A76EC8" w:rsidRDefault="00A76EC8" w:rsidP="00A76EC8">
            <w:pPr>
              <w:spacing w:after="0" w:line="240" w:lineRule="auto"/>
              <w:rPr>
                <w:rFonts w:ascii="Arial" w:hAnsi="Arial" w:cs="Arial"/>
                <w:color w:val="000000"/>
                <w:sz w:val="20"/>
                <w:szCs w:val="20"/>
              </w:rPr>
            </w:pPr>
            <w:r w:rsidRPr="00BF30A1">
              <w:rPr>
                <w:rFonts w:ascii="Arial" w:hAnsi="Arial" w:cs="Arial"/>
                <w:color w:val="000000"/>
                <w:sz w:val="20"/>
                <w:szCs w:val="20"/>
              </w:rPr>
              <w:t>Abbreviations</w:t>
            </w:r>
            <w:r>
              <w:rPr>
                <w:rFonts w:ascii="Arial" w:hAnsi="Arial" w:cs="Arial"/>
                <w:color w:val="000000"/>
                <w:sz w:val="20"/>
                <w:szCs w:val="20"/>
              </w:rPr>
              <w:t xml:space="preserve">: COPD, chronic obstructive pulmonary disease; EDPS, emergency department-presenting sepsis; HPS, hospital-presenting sepsis, ICU, intensive care unit; IQR, interquartile range; SNF, skilled nursing facility; SD, standard deviation. </w:t>
            </w:r>
          </w:p>
        </w:tc>
      </w:tr>
    </w:tbl>
    <w:p w14:paraId="624FA6CC" w14:textId="77777777" w:rsidR="00A76EC8" w:rsidRDefault="00A76EC8">
      <w:r>
        <w:br w:type="page"/>
      </w:r>
    </w:p>
    <w:p w14:paraId="489F4647" w14:textId="77777777" w:rsidR="00A76EC8" w:rsidRDefault="00A76EC8"/>
    <w:tbl>
      <w:tblPr>
        <w:tblW w:w="9840" w:type="dxa"/>
        <w:tblLayout w:type="fixed"/>
        <w:tblLook w:val="04A0" w:firstRow="1" w:lastRow="0" w:firstColumn="1" w:lastColumn="0" w:noHBand="0" w:noVBand="1"/>
      </w:tblPr>
      <w:tblGrid>
        <w:gridCol w:w="4608"/>
        <w:gridCol w:w="1950"/>
        <w:gridCol w:w="1585"/>
        <w:gridCol w:w="1697"/>
      </w:tblGrid>
      <w:tr w:rsidR="00576894" w:rsidRPr="008B025A" w14:paraId="6C29BA86" w14:textId="77777777" w:rsidTr="00576894">
        <w:trPr>
          <w:trHeight w:val="171"/>
        </w:trPr>
        <w:tc>
          <w:tcPr>
            <w:tcW w:w="98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B31AF94" w14:textId="2033090B" w:rsidR="00576894" w:rsidRPr="008B025A" w:rsidRDefault="00576894" w:rsidP="00C148F7">
            <w:pPr>
              <w:rPr>
                <w:rFonts w:ascii="Arial" w:hAnsi="Arial" w:cs="Arial"/>
                <w:b/>
                <w:bCs/>
                <w:color w:val="000000"/>
                <w:sz w:val="28"/>
                <w:szCs w:val="28"/>
              </w:rPr>
            </w:pPr>
            <w:r>
              <w:rPr>
                <w:rFonts w:ascii="Arial" w:hAnsi="Arial" w:cs="Arial"/>
                <w:b/>
                <w:bCs/>
                <w:color w:val="000000"/>
                <w:sz w:val="28"/>
                <w:szCs w:val="28"/>
              </w:rPr>
              <w:t xml:space="preserve">Supplemental </w:t>
            </w:r>
            <w:r w:rsidRPr="008B025A">
              <w:rPr>
                <w:rFonts w:ascii="Arial" w:hAnsi="Arial" w:cs="Arial"/>
                <w:b/>
                <w:bCs/>
                <w:color w:val="000000"/>
                <w:sz w:val="28"/>
                <w:szCs w:val="28"/>
              </w:rPr>
              <w:t xml:space="preserve">Table </w:t>
            </w:r>
            <w:r w:rsidR="00C148F7">
              <w:rPr>
                <w:rFonts w:ascii="Arial" w:hAnsi="Arial" w:cs="Arial"/>
                <w:b/>
                <w:bCs/>
                <w:color w:val="000000"/>
                <w:sz w:val="28"/>
                <w:szCs w:val="28"/>
              </w:rPr>
              <w:t>4</w:t>
            </w:r>
            <w:r w:rsidRPr="008B025A">
              <w:rPr>
                <w:rFonts w:ascii="Arial" w:hAnsi="Arial" w:cs="Arial"/>
                <w:b/>
                <w:bCs/>
                <w:color w:val="000000"/>
                <w:sz w:val="28"/>
                <w:szCs w:val="28"/>
              </w:rPr>
              <w:t xml:space="preserve">: Propensity </w:t>
            </w:r>
            <w:r>
              <w:rPr>
                <w:rFonts w:ascii="Arial" w:hAnsi="Arial" w:cs="Arial"/>
                <w:b/>
                <w:bCs/>
                <w:color w:val="000000"/>
                <w:sz w:val="28"/>
                <w:szCs w:val="28"/>
              </w:rPr>
              <w:t>Model for Community-Acquired vs. Any Hospital-Acquired Sepsis (Primary Analysis)</w:t>
            </w:r>
          </w:p>
        </w:tc>
      </w:tr>
      <w:tr w:rsidR="00576894" w:rsidRPr="008B025A" w14:paraId="01DC6838" w14:textId="77777777" w:rsidTr="00576894">
        <w:trPr>
          <w:trHeight w:val="326"/>
        </w:trPr>
        <w:tc>
          <w:tcPr>
            <w:tcW w:w="4608" w:type="dxa"/>
            <w:tcBorders>
              <w:top w:val="nil"/>
              <w:left w:val="single" w:sz="4" w:space="0" w:color="auto"/>
              <w:bottom w:val="single" w:sz="4" w:space="0" w:color="auto"/>
              <w:right w:val="nil"/>
            </w:tcBorders>
            <w:shd w:val="clear" w:color="auto" w:fill="auto"/>
            <w:noWrap/>
            <w:vAlign w:val="bottom"/>
            <w:hideMark/>
          </w:tcPr>
          <w:p w14:paraId="17E586F7" w14:textId="77777777" w:rsidR="00576894" w:rsidRPr="001723D0" w:rsidRDefault="00576894" w:rsidP="00576894">
            <w:pPr>
              <w:spacing w:after="0" w:line="240" w:lineRule="auto"/>
              <w:rPr>
                <w:rFonts w:ascii="Arial" w:hAnsi="Arial" w:cs="Arial"/>
                <w:b/>
                <w:bCs/>
                <w:color w:val="000000"/>
                <w:sz w:val="24"/>
                <w:szCs w:val="24"/>
              </w:rPr>
            </w:pPr>
            <w:r w:rsidRPr="001723D0">
              <w:rPr>
                <w:rFonts w:ascii="Arial" w:hAnsi="Arial" w:cs="Arial"/>
                <w:b/>
                <w:bCs/>
                <w:color w:val="000000"/>
                <w:sz w:val="24"/>
                <w:szCs w:val="24"/>
              </w:rPr>
              <w:t>Variable</w:t>
            </w:r>
          </w:p>
        </w:tc>
        <w:tc>
          <w:tcPr>
            <w:tcW w:w="1950" w:type="dxa"/>
            <w:tcBorders>
              <w:top w:val="nil"/>
              <w:left w:val="nil"/>
              <w:bottom w:val="single" w:sz="4" w:space="0" w:color="auto"/>
              <w:right w:val="nil"/>
            </w:tcBorders>
            <w:shd w:val="clear" w:color="auto" w:fill="auto"/>
            <w:vAlign w:val="bottom"/>
            <w:hideMark/>
          </w:tcPr>
          <w:p w14:paraId="5B7774F1"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(β)</w:t>
            </w:r>
            <w:r>
              <w:rPr>
                <w:rFonts w:ascii="Arial" w:hAnsi="Arial" w:cs="Arial"/>
                <w:b/>
                <w:bCs/>
                <w:color w:val="000000"/>
                <w:sz w:val="24"/>
                <w:szCs w:val="24"/>
              </w:rPr>
              <w:t xml:space="preserve"> </w:t>
            </w:r>
            <w:r w:rsidRPr="001723D0">
              <w:rPr>
                <w:rFonts w:ascii="Arial" w:hAnsi="Arial" w:cs="Arial"/>
                <w:b/>
                <w:bCs/>
                <w:color w:val="000000"/>
                <w:sz w:val="24"/>
                <w:szCs w:val="24"/>
              </w:rPr>
              <w:t xml:space="preserve">Propensity Coefficient </w:t>
            </w:r>
          </w:p>
        </w:tc>
        <w:tc>
          <w:tcPr>
            <w:tcW w:w="1585" w:type="dxa"/>
            <w:tcBorders>
              <w:top w:val="nil"/>
              <w:left w:val="nil"/>
              <w:bottom w:val="single" w:sz="4" w:space="0" w:color="auto"/>
              <w:right w:val="nil"/>
            </w:tcBorders>
            <w:shd w:val="clear" w:color="auto" w:fill="auto"/>
            <w:vAlign w:val="bottom"/>
            <w:hideMark/>
          </w:tcPr>
          <w:p w14:paraId="10CE18C5"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Odds Ratio</w:t>
            </w:r>
          </w:p>
        </w:tc>
        <w:tc>
          <w:tcPr>
            <w:tcW w:w="1697" w:type="dxa"/>
            <w:tcBorders>
              <w:top w:val="nil"/>
              <w:left w:val="nil"/>
              <w:bottom w:val="single" w:sz="4" w:space="0" w:color="auto"/>
              <w:right w:val="single" w:sz="4" w:space="0" w:color="auto"/>
            </w:tcBorders>
            <w:shd w:val="clear" w:color="auto" w:fill="auto"/>
            <w:vAlign w:val="bottom"/>
            <w:hideMark/>
          </w:tcPr>
          <w:p w14:paraId="4D990187"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95% CI</w:t>
            </w:r>
          </w:p>
        </w:tc>
      </w:tr>
      <w:tr w:rsidR="00576894" w:rsidRPr="008B025A" w14:paraId="74DF0A9F"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7F96ED74"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Age </w:t>
            </w:r>
          </w:p>
        </w:tc>
        <w:tc>
          <w:tcPr>
            <w:tcW w:w="1950" w:type="dxa"/>
            <w:tcBorders>
              <w:top w:val="nil"/>
              <w:left w:val="nil"/>
              <w:bottom w:val="nil"/>
              <w:right w:val="nil"/>
            </w:tcBorders>
            <w:shd w:val="clear" w:color="auto" w:fill="auto"/>
            <w:noWrap/>
            <w:vAlign w:val="bottom"/>
            <w:hideMark/>
          </w:tcPr>
          <w:p w14:paraId="5C20756D"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0.005</w:t>
            </w:r>
          </w:p>
        </w:tc>
        <w:tc>
          <w:tcPr>
            <w:tcW w:w="1585" w:type="dxa"/>
            <w:tcBorders>
              <w:top w:val="nil"/>
              <w:left w:val="nil"/>
              <w:bottom w:val="nil"/>
              <w:right w:val="nil"/>
            </w:tcBorders>
            <w:shd w:val="clear" w:color="auto" w:fill="auto"/>
            <w:noWrap/>
            <w:vAlign w:val="bottom"/>
            <w:hideMark/>
          </w:tcPr>
          <w:p w14:paraId="6445B1EF"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1.01</w:t>
            </w:r>
          </w:p>
        </w:tc>
        <w:tc>
          <w:tcPr>
            <w:tcW w:w="1697" w:type="dxa"/>
            <w:tcBorders>
              <w:top w:val="nil"/>
              <w:left w:val="nil"/>
              <w:bottom w:val="nil"/>
              <w:right w:val="single" w:sz="4" w:space="0" w:color="auto"/>
            </w:tcBorders>
            <w:shd w:val="clear" w:color="auto" w:fill="auto"/>
            <w:noWrap/>
            <w:vAlign w:val="bottom"/>
            <w:hideMark/>
          </w:tcPr>
          <w:p w14:paraId="60C807C5"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1.00, 1.01</w:t>
            </w:r>
          </w:p>
        </w:tc>
      </w:tr>
      <w:tr w:rsidR="00576894" w:rsidRPr="008B025A" w14:paraId="1A53B90F"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2BA771D8"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Male Sex</w:t>
            </w:r>
          </w:p>
        </w:tc>
        <w:tc>
          <w:tcPr>
            <w:tcW w:w="1950" w:type="dxa"/>
            <w:tcBorders>
              <w:top w:val="nil"/>
              <w:left w:val="nil"/>
              <w:bottom w:val="nil"/>
              <w:right w:val="nil"/>
            </w:tcBorders>
            <w:shd w:val="clear" w:color="auto" w:fill="auto"/>
            <w:noWrap/>
            <w:vAlign w:val="bottom"/>
            <w:hideMark/>
          </w:tcPr>
          <w:p w14:paraId="51C73D8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-0.041</w:t>
            </w:r>
          </w:p>
        </w:tc>
        <w:tc>
          <w:tcPr>
            <w:tcW w:w="1585" w:type="dxa"/>
            <w:tcBorders>
              <w:top w:val="nil"/>
              <w:left w:val="nil"/>
              <w:bottom w:val="nil"/>
              <w:right w:val="nil"/>
            </w:tcBorders>
            <w:shd w:val="clear" w:color="auto" w:fill="auto"/>
            <w:noWrap/>
            <w:vAlign w:val="bottom"/>
            <w:hideMark/>
          </w:tcPr>
          <w:p w14:paraId="638FC6D2"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0.96</w:t>
            </w:r>
          </w:p>
        </w:tc>
        <w:tc>
          <w:tcPr>
            <w:tcW w:w="1697" w:type="dxa"/>
            <w:tcBorders>
              <w:top w:val="nil"/>
              <w:left w:val="nil"/>
              <w:bottom w:val="nil"/>
              <w:right w:val="single" w:sz="4" w:space="0" w:color="auto"/>
            </w:tcBorders>
            <w:shd w:val="clear" w:color="auto" w:fill="auto"/>
            <w:noWrap/>
            <w:vAlign w:val="bottom"/>
            <w:hideMark/>
          </w:tcPr>
          <w:p w14:paraId="1DCB4646"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0.87, 1.06</w:t>
            </w:r>
          </w:p>
        </w:tc>
      </w:tr>
      <w:tr w:rsidR="00576894" w:rsidRPr="008B025A" w14:paraId="4291A822"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8EF2ED2"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Tertiary Care Hospital</w:t>
            </w:r>
          </w:p>
        </w:tc>
        <w:tc>
          <w:tcPr>
            <w:tcW w:w="1950" w:type="dxa"/>
            <w:tcBorders>
              <w:top w:val="nil"/>
              <w:left w:val="nil"/>
              <w:bottom w:val="nil"/>
              <w:right w:val="nil"/>
            </w:tcBorders>
            <w:shd w:val="clear" w:color="auto" w:fill="auto"/>
            <w:noWrap/>
            <w:vAlign w:val="bottom"/>
            <w:hideMark/>
          </w:tcPr>
          <w:p w14:paraId="2AE3F4E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-0.014</w:t>
            </w:r>
          </w:p>
        </w:tc>
        <w:tc>
          <w:tcPr>
            <w:tcW w:w="1585" w:type="dxa"/>
            <w:tcBorders>
              <w:top w:val="nil"/>
              <w:left w:val="nil"/>
              <w:bottom w:val="nil"/>
              <w:right w:val="nil"/>
            </w:tcBorders>
            <w:shd w:val="clear" w:color="auto" w:fill="auto"/>
            <w:noWrap/>
            <w:vAlign w:val="bottom"/>
            <w:hideMark/>
          </w:tcPr>
          <w:p w14:paraId="0635ECE7"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0.99</w:t>
            </w:r>
          </w:p>
        </w:tc>
        <w:tc>
          <w:tcPr>
            <w:tcW w:w="1697" w:type="dxa"/>
            <w:tcBorders>
              <w:top w:val="nil"/>
              <w:left w:val="nil"/>
              <w:bottom w:val="nil"/>
              <w:right w:val="single" w:sz="4" w:space="0" w:color="auto"/>
            </w:tcBorders>
            <w:shd w:val="clear" w:color="auto" w:fill="auto"/>
            <w:noWrap/>
            <w:vAlign w:val="bottom"/>
            <w:hideMark/>
          </w:tcPr>
          <w:p w14:paraId="5DCDFDE2"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0.88, 1.11</w:t>
            </w:r>
          </w:p>
        </w:tc>
      </w:tr>
      <w:tr w:rsidR="00576894" w:rsidRPr="008B025A" w14:paraId="2B860723"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68EC02CE"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Heart Failure</w:t>
            </w:r>
          </w:p>
        </w:tc>
        <w:tc>
          <w:tcPr>
            <w:tcW w:w="1950" w:type="dxa"/>
            <w:tcBorders>
              <w:top w:val="nil"/>
              <w:left w:val="nil"/>
              <w:bottom w:val="nil"/>
              <w:right w:val="nil"/>
            </w:tcBorders>
            <w:shd w:val="clear" w:color="auto" w:fill="auto"/>
            <w:noWrap/>
            <w:vAlign w:val="bottom"/>
            <w:hideMark/>
          </w:tcPr>
          <w:p w14:paraId="41348C9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-0.257</w:t>
            </w:r>
          </w:p>
        </w:tc>
        <w:tc>
          <w:tcPr>
            <w:tcW w:w="1585" w:type="dxa"/>
            <w:tcBorders>
              <w:top w:val="nil"/>
              <w:left w:val="nil"/>
              <w:bottom w:val="nil"/>
              <w:right w:val="nil"/>
            </w:tcBorders>
            <w:shd w:val="clear" w:color="auto" w:fill="auto"/>
            <w:noWrap/>
            <w:vAlign w:val="bottom"/>
            <w:hideMark/>
          </w:tcPr>
          <w:p w14:paraId="1802BBC7"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0.77</w:t>
            </w:r>
          </w:p>
        </w:tc>
        <w:tc>
          <w:tcPr>
            <w:tcW w:w="1697" w:type="dxa"/>
            <w:tcBorders>
              <w:top w:val="nil"/>
              <w:left w:val="nil"/>
              <w:bottom w:val="nil"/>
              <w:right w:val="single" w:sz="4" w:space="0" w:color="auto"/>
            </w:tcBorders>
            <w:shd w:val="clear" w:color="auto" w:fill="auto"/>
            <w:noWrap/>
            <w:vAlign w:val="bottom"/>
            <w:hideMark/>
          </w:tcPr>
          <w:p w14:paraId="3BEA6DE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0.67, 0.89</w:t>
            </w:r>
          </w:p>
        </w:tc>
      </w:tr>
      <w:tr w:rsidR="00576894" w:rsidRPr="008B025A" w14:paraId="6F7F5138"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4FCC9E9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Renal Failure</w:t>
            </w:r>
          </w:p>
        </w:tc>
        <w:tc>
          <w:tcPr>
            <w:tcW w:w="1950" w:type="dxa"/>
            <w:tcBorders>
              <w:top w:val="nil"/>
              <w:left w:val="nil"/>
              <w:bottom w:val="nil"/>
              <w:right w:val="nil"/>
            </w:tcBorders>
            <w:shd w:val="clear" w:color="auto" w:fill="auto"/>
            <w:noWrap/>
            <w:vAlign w:val="bottom"/>
            <w:hideMark/>
          </w:tcPr>
          <w:p w14:paraId="77ED98C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-0.476</w:t>
            </w:r>
          </w:p>
        </w:tc>
        <w:tc>
          <w:tcPr>
            <w:tcW w:w="1585" w:type="dxa"/>
            <w:tcBorders>
              <w:top w:val="nil"/>
              <w:left w:val="nil"/>
              <w:bottom w:val="nil"/>
              <w:right w:val="nil"/>
            </w:tcBorders>
            <w:shd w:val="clear" w:color="auto" w:fill="auto"/>
            <w:noWrap/>
            <w:vAlign w:val="bottom"/>
            <w:hideMark/>
          </w:tcPr>
          <w:p w14:paraId="710B809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0.62</w:t>
            </w:r>
          </w:p>
        </w:tc>
        <w:tc>
          <w:tcPr>
            <w:tcW w:w="1697" w:type="dxa"/>
            <w:tcBorders>
              <w:top w:val="nil"/>
              <w:left w:val="nil"/>
              <w:bottom w:val="nil"/>
              <w:right w:val="single" w:sz="4" w:space="0" w:color="auto"/>
            </w:tcBorders>
            <w:shd w:val="clear" w:color="auto" w:fill="auto"/>
            <w:noWrap/>
            <w:vAlign w:val="bottom"/>
            <w:hideMark/>
          </w:tcPr>
          <w:p w14:paraId="6150B01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0.53, 0.72</w:t>
            </w:r>
          </w:p>
        </w:tc>
      </w:tr>
      <w:tr w:rsidR="00576894" w:rsidRPr="008B025A" w14:paraId="049BE567"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025BB168"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COPD </w:t>
            </w:r>
          </w:p>
        </w:tc>
        <w:tc>
          <w:tcPr>
            <w:tcW w:w="1950" w:type="dxa"/>
            <w:tcBorders>
              <w:top w:val="nil"/>
              <w:left w:val="nil"/>
              <w:bottom w:val="nil"/>
              <w:right w:val="nil"/>
            </w:tcBorders>
            <w:shd w:val="clear" w:color="auto" w:fill="auto"/>
            <w:noWrap/>
            <w:vAlign w:val="bottom"/>
            <w:hideMark/>
          </w:tcPr>
          <w:p w14:paraId="12B1912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0.703</w:t>
            </w:r>
          </w:p>
        </w:tc>
        <w:tc>
          <w:tcPr>
            <w:tcW w:w="1585" w:type="dxa"/>
            <w:tcBorders>
              <w:top w:val="nil"/>
              <w:left w:val="nil"/>
              <w:bottom w:val="nil"/>
              <w:right w:val="nil"/>
            </w:tcBorders>
            <w:shd w:val="clear" w:color="auto" w:fill="auto"/>
            <w:noWrap/>
            <w:vAlign w:val="bottom"/>
            <w:hideMark/>
          </w:tcPr>
          <w:p w14:paraId="411ABC72"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2.02</w:t>
            </w:r>
          </w:p>
        </w:tc>
        <w:tc>
          <w:tcPr>
            <w:tcW w:w="1697" w:type="dxa"/>
            <w:tcBorders>
              <w:top w:val="nil"/>
              <w:left w:val="nil"/>
              <w:bottom w:val="nil"/>
              <w:right w:val="single" w:sz="4" w:space="0" w:color="auto"/>
            </w:tcBorders>
            <w:shd w:val="clear" w:color="auto" w:fill="auto"/>
            <w:noWrap/>
            <w:vAlign w:val="bottom"/>
            <w:hideMark/>
          </w:tcPr>
          <w:p w14:paraId="39BC3722"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1.62, 2.52</w:t>
            </w:r>
          </w:p>
        </w:tc>
      </w:tr>
      <w:tr w:rsidR="00576894" w:rsidRPr="008B025A" w14:paraId="50EFC2FD"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6BBC4FE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Diabetes </w:t>
            </w:r>
          </w:p>
        </w:tc>
        <w:tc>
          <w:tcPr>
            <w:tcW w:w="1950" w:type="dxa"/>
            <w:tcBorders>
              <w:top w:val="nil"/>
              <w:left w:val="nil"/>
              <w:bottom w:val="nil"/>
              <w:right w:val="nil"/>
            </w:tcBorders>
            <w:shd w:val="clear" w:color="auto" w:fill="auto"/>
            <w:noWrap/>
            <w:vAlign w:val="bottom"/>
            <w:hideMark/>
          </w:tcPr>
          <w:p w14:paraId="3252F0B8"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0.027</w:t>
            </w:r>
          </w:p>
        </w:tc>
        <w:tc>
          <w:tcPr>
            <w:tcW w:w="1585" w:type="dxa"/>
            <w:tcBorders>
              <w:top w:val="nil"/>
              <w:left w:val="nil"/>
              <w:bottom w:val="nil"/>
              <w:right w:val="nil"/>
            </w:tcBorders>
            <w:shd w:val="clear" w:color="auto" w:fill="auto"/>
            <w:noWrap/>
            <w:vAlign w:val="bottom"/>
            <w:hideMark/>
          </w:tcPr>
          <w:p w14:paraId="32E9908C"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1.03</w:t>
            </w:r>
          </w:p>
        </w:tc>
        <w:tc>
          <w:tcPr>
            <w:tcW w:w="1697" w:type="dxa"/>
            <w:tcBorders>
              <w:top w:val="nil"/>
              <w:left w:val="nil"/>
              <w:bottom w:val="nil"/>
              <w:right w:val="single" w:sz="4" w:space="0" w:color="auto"/>
            </w:tcBorders>
            <w:shd w:val="clear" w:color="auto" w:fill="auto"/>
            <w:noWrap/>
            <w:vAlign w:val="bottom"/>
            <w:hideMark/>
          </w:tcPr>
          <w:p w14:paraId="455B0C32"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0.92, 1.15</w:t>
            </w:r>
          </w:p>
        </w:tc>
      </w:tr>
      <w:tr w:rsidR="00576894" w:rsidRPr="008B025A" w14:paraId="7D089B37"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918422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Liver Failure</w:t>
            </w:r>
          </w:p>
        </w:tc>
        <w:tc>
          <w:tcPr>
            <w:tcW w:w="1950" w:type="dxa"/>
            <w:tcBorders>
              <w:top w:val="nil"/>
              <w:left w:val="nil"/>
              <w:bottom w:val="nil"/>
              <w:right w:val="nil"/>
            </w:tcBorders>
            <w:shd w:val="clear" w:color="auto" w:fill="auto"/>
            <w:noWrap/>
            <w:vAlign w:val="bottom"/>
            <w:hideMark/>
          </w:tcPr>
          <w:p w14:paraId="52AF58C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-0.044</w:t>
            </w:r>
          </w:p>
        </w:tc>
        <w:tc>
          <w:tcPr>
            <w:tcW w:w="1585" w:type="dxa"/>
            <w:tcBorders>
              <w:top w:val="nil"/>
              <w:left w:val="nil"/>
              <w:bottom w:val="nil"/>
              <w:right w:val="nil"/>
            </w:tcBorders>
            <w:shd w:val="clear" w:color="auto" w:fill="auto"/>
            <w:noWrap/>
            <w:vAlign w:val="bottom"/>
            <w:hideMark/>
          </w:tcPr>
          <w:p w14:paraId="2BEE302D"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0.96</w:t>
            </w:r>
          </w:p>
        </w:tc>
        <w:tc>
          <w:tcPr>
            <w:tcW w:w="1697" w:type="dxa"/>
            <w:tcBorders>
              <w:top w:val="nil"/>
              <w:left w:val="nil"/>
              <w:bottom w:val="nil"/>
              <w:right w:val="single" w:sz="4" w:space="0" w:color="auto"/>
            </w:tcBorders>
            <w:shd w:val="clear" w:color="auto" w:fill="auto"/>
            <w:noWrap/>
            <w:vAlign w:val="bottom"/>
            <w:hideMark/>
          </w:tcPr>
          <w:p w14:paraId="6BBAEC5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0.66, 1.40</w:t>
            </w:r>
          </w:p>
        </w:tc>
      </w:tr>
      <w:tr w:rsidR="00576894" w:rsidRPr="008B025A" w14:paraId="5F149A6A"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4E378B62" w14:textId="77777777" w:rsidR="00576894" w:rsidRPr="001723D0" w:rsidRDefault="00576894" w:rsidP="00576894">
            <w:pPr>
              <w:spacing w:after="0" w:line="240" w:lineRule="auto"/>
              <w:rPr>
                <w:rFonts w:ascii="Arial" w:hAnsi="Arial" w:cs="Arial"/>
                <w:color w:val="000000"/>
                <w:sz w:val="24"/>
                <w:szCs w:val="24"/>
              </w:rPr>
            </w:pPr>
            <w:proofErr w:type="spellStart"/>
            <w:r w:rsidRPr="001723D0">
              <w:rPr>
                <w:rFonts w:ascii="Arial" w:hAnsi="Arial" w:cs="Arial"/>
                <w:color w:val="000000"/>
                <w:sz w:val="24"/>
                <w:szCs w:val="24"/>
              </w:rPr>
              <w:t>Immunocompromise</w:t>
            </w:r>
            <w:proofErr w:type="spellEnd"/>
          </w:p>
        </w:tc>
        <w:tc>
          <w:tcPr>
            <w:tcW w:w="1950" w:type="dxa"/>
            <w:tcBorders>
              <w:top w:val="nil"/>
              <w:left w:val="nil"/>
              <w:bottom w:val="nil"/>
              <w:right w:val="nil"/>
            </w:tcBorders>
            <w:shd w:val="clear" w:color="auto" w:fill="auto"/>
            <w:noWrap/>
            <w:vAlign w:val="bottom"/>
            <w:hideMark/>
          </w:tcPr>
          <w:p w14:paraId="43EB18ED"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-0.072</w:t>
            </w:r>
          </w:p>
        </w:tc>
        <w:tc>
          <w:tcPr>
            <w:tcW w:w="1585" w:type="dxa"/>
            <w:tcBorders>
              <w:top w:val="nil"/>
              <w:left w:val="nil"/>
              <w:bottom w:val="nil"/>
              <w:right w:val="nil"/>
            </w:tcBorders>
            <w:shd w:val="clear" w:color="auto" w:fill="auto"/>
            <w:noWrap/>
            <w:vAlign w:val="bottom"/>
            <w:hideMark/>
          </w:tcPr>
          <w:p w14:paraId="2D280C46"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0.93</w:t>
            </w:r>
          </w:p>
        </w:tc>
        <w:tc>
          <w:tcPr>
            <w:tcW w:w="1697" w:type="dxa"/>
            <w:tcBorders>
              <w:top w:val="nil"/>
              <w:left w:val="nil"/>
              <w:bottom w:val="nil"/>
              <w:right w:val="single" w:sz="4" w:space="0" w:color="auto"/>
            </w:tcBorders>
            <w:shd w:val="clear" w:color="auto" w:fill="auto"/>
            <w:noWrap/>
            <w:vAlign w:val="bottom"/>
            <w:hideMark/>
          </w:tcPr>
          <w:p w14:paraId="746B9A8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0.83, 1.05</w:t>
            </w:r>
          </w:p>
        </w:tc>
      </w:tr>
      <w:tr w:rsidR="00576894" w:rsidRPr="008B025A" w14:paraId="021BC6F6"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3474BF22" w14:textId="77777777" w:rsidR="00576894" w:rsidRPr="001723D0" w:rsidRDefault="00576894" w:rsidP="00576894">
            <w:pPr>
              <w:spacing w:after="0" w:line="240" w:lineRule="auto"/>
              <w:rPr>
                <w:rFonts w:ascii="Arial" w:hAnsi="Arial" w:cs="Arial"/>
                <w:i/>
                <w:color w:val="000000"/>
                <w:sz w:val="24"/>
                <w:szCs w:val="24"/>
              </w:rPr>
            </w:pPr>
            <w:r w:rsidRPr="001723D0">
              <w:rPr>
                <w:rFonts w:ascii="Arial" w:hAnsi="Arial" w:cs="Arial"/>
                <w:i/>
                <w:color w:val="000000"/>
                <w:sz w:val="24"/>
                <w:szCs w:val="24"/>
              </w:rPr>
              <w:t>Infection Source (vs. Respiratory)</w:t>
            </w:r>
          </w:p>
        </w:tc>
        <w:tc>
          <w:tcPr>
            <w:tcW w:w="1950" w:type="dxa"/>
            <w:tcBorders>
              <w:top w:val="nil"/>
              <w:left w:val="nil"/>
              <w:bottom w:val="nil"/>
              <w:right w:val="nil"/>
            </w:tcBorders>
            <w:shd w:val="clear" w:color="auto" w:fill="auto"/>
            <w:noWrap/>
            <w:vAlign w:val="bottom"/>
          </w:tcPr>
          <w:p w14:paraId="7DD54108" w14:textId="77777777" w:rsidR="00576894" w:rsidRPr="001723D0" w:rsidRDefault="00576894" w:rsidP="00576894">
            <w:pPr>
              <w:spacing w:after="0" w:line="240" w:lineRule="auto"/>
              <w:jc w:val="center"/>
              <w:rPr>
                <w:rFonts w:ascii="Arial" w:hAnsi="Arial" w:cs="Arial"/>
                <w:color w:val="000000"/>
                <w:sz w:val="24"/>
                <w:szCs w:val="24"/>
              </w:rPr>
            </w:pPr>
          </w:p>
        </w:tc>
        <w:tc>
          <w:tcPr>
            <w:tcW w:w="1585" w:type="dxa"/>
            <w:tcBorders>
              <w:top w:val="nil"/>
              <w:left w:val="nil"/>
              <w:bottom w:val="nil"/>
              <w:right w:val="nil"/>
            </w:tcBorders>
            <w:shd w:val="clear" w:color="auto" w:fill="auto"/>
            <w:noWrap/>
            <w:vAlign w:val="bottom"/>
          </w:tcPr>
          <w:p w14:paraId="792CCD42" w14:textId="77777777" w:rsidR="00576894" w:rsidRPr="001723D0" w:rsidRDefault="00576894" w:rsidP="00576894">
            <w:pPr>
              <w:spacing w:after="0" w:line="240" w:lineRule="auto"/>
              <w:jc w:val="center"/>
              <w:rPr>
                <w:rFonts w:ascii="Arial" w:hAnsi="Arial" w:cs="Arial"/>
                <w:color w:val="000000"/>
                <w:sz w:val="24"/>
                <w:szCs w:val="24"/>
              </w:rPr>
            </w:pPr>
          </w:p>
        </w:tc>
        <w:tc>
          <w:tcPr>
            <w:tcW w:w="1697" w:type="dxa"/>
            <w:tcBorders>
              <w:top w:val="nil"/>
              <w:left w:val="nil"/>
              <w:bottom w:val="nil"/>
              <w:right w:val="single" w:sz="4" w:space="0" w:color="auto"/>
            </w:tcBorders>
            <w:shd w:val="clear" w:color="auto" w:fill="auto"/>
            <w:noWrap/>
            <w:vAlign w:val="bottom"/>
          </w:tcPr>
          <w:p w14:paraId="46CB58D5" w14:textId="77777777" w:rsidR="00576894" w:rsidRPr="001723D0" w:rsidRDefault="00576894" w:rsidP="00576894">
            <w:pPr>
              <w:spacing w:after="0" w:line="240" w:lineRule="auto"/>
              <w:jc w:val="center"/>
              <w:rPr>
                <w:rFonts w:ascii="Arial" w:hAnsi="Arial" w:cs="Arial"/>
                <w:color w:val="000000"/>
                <w:sz w:val="24"/>
                <w:szCs w:val="24"/>
              </w:rPr>
            </w:pPr>
          </w:p>
        </w:tc>
      </w:tr>
      <w:tr w:rsidR="00576894" w:rsidRPr="008B025A" w14:paraId="066E3820"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7EAC8E33"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Urinary</w:t>
            </w:r>
          </w:p>
        </w:tc>
        <w:tc>
          <w:tcPr>
            <w:tcW w:w="1950" w:type="dxa"/>
            <w:tcBorders>
              <w:top w:val="nil"/>
              <w:left w:val="nil"/>
              <w:bottom w:val="nil"/>
              <w:right w:val="nil"/>
            </w:tcBorders>
            <w:shd w:val="clear" w:color="auto" w:fill="auto"/>
            <w:noWrap/>
            <w:vAlign w:val="bottom"/>
          </w:tcPr>
          <w:p w14:paraId="3CD83BA2"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0.044</w:t>
            </w:r>
          </w:p>
        </w:tc>
        <w:tc>
          <w:tcPr>
            <w:tcW w:w="1585" w:type="dxa"/>
            <w:tcBorders>
              <w:top w:val="nil"/>
              <w:left w:val="nil"/>
              <w:bottom w:val="nil"/>
              <w:right w:val="nil"/>
            </w:tcBorders>
            <w:shd w:val="clear" w:color="auto" w:fill="auto"/>
            <w:noWrap/>
            <w:vAlign w:val="bottom"/>
          </w:tcPr>
          <w:p w14:paraId="4E747F0E"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1.05</w:t>
            </w:r>
          </w:p>
        </w:tc>
        <w:tc>
          <w:tcPr>
            <w:tcW w:w="1697" w:type="dxa"/>
            <w:tcBorders>
              <w:top w:val="nil"/>
              <w:left w:val="nil"/>
              <w:bottom w:val="nil"/>
              <w:right w:val="single" w:sz="4" w:space="0" w:color="auto"/>
            </w:tcBorders>
            <w:shd w:val="clear" w:color="auto" w:fill="auto"/>
            <w:noWrap/>
            <w:vAlign w:val="bottom"/>
          </w:tcPr>
          <w:p w14:paraId="663B27AE"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0.91, 1.20</w:t>
            </w:r>
          </w:p>
        </w:tc>
      </w:tr>
      <w:tr w:rsidR="00576894" w:rsidRPr="008B025A" w14:paraId="5BBFA112"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4D6BC50B"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Skin/Soft-Tissue</w:t>
            </w:r>
          </w:p>
        </w:tc>
        <w:tc>
          <w:tcPr>
            <w:tcW w:w="1950" w:type="dxa"/>
            <w:tcBorders>
              <w:top w:val="nil"/>
              <w:left w:val="nil"/>
              <w:bottom w:val="nil"/>
              <w:right w:val="nil"/>
            </w:tcBorders>
            <w:shd w:val="clear" w:color="auto" w:fill="auto"/>
            <w:noWrap/>
            <w:vAlign w:val="bottom"/>
          </w:tcPr>
          <w:p w14:paraId="3A731149"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0.199</w:t>
            </w:r>
          </w:p>
        </w:tc>
        <w:tc>
          <w:tcPr>
            <w:tcW w:w="1585" w:type="dxa"/>
            <w:tcBorders>
              <w:top w:val="nil"/>
              <w:left w:val="nil"/>
              <w:bottom w:val="nil"/>
              <w:right w:val="nil"/>
            </w:tcBorders>
            <w:shd w:val="clear" w:color="auto" w:fill="auto"/>
            <w:noWrap/>
            <w:vAlign w:val="bottom"/>
          </w:tcPr>
          <w:p w14:paraId="6B6AF2A3"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1.22</w:t>
            </w:r>
          </w:p>
        </w:tc>
        <w:tc>
          <w:tcPr>
            <w:tcW w:w="1697" w:type="dxa"/>
            <w:tcBorders>
              <w:top w:val="nil"/>
              <w:left w:val="nil"/>
              <w:bottom w:val="nil"/>
              <w:right w:val="single" w:sz="4" w:space="0" w:color="auto"/>
            </w:tcBorders>
            <w:shd w:val="clear" w:color="auto" w:fill="auto"/>
            <w:noWrap/>
            <w:vAlign w:val="bottom"/>
          </w:tcPr>
          <w:p w14:paraId="00EB3E3F"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0.97, 1.54</w:t>
            </w:r>
          </w:p>
        </w:tc>
      </w:tr>
      <w:tr w:rsidR="00576894" w:rsidRPr="008B025A" w14:paraId="5E327FBA"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6193137E"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Gastrointestinal</w:t>
            </w:r>
          </w:p>
        </w:tc>
        <w:tc>
          <w:tcPr>
            <w:tcW w:w="1950" w:type="dxa"/>
            <w:tcBorders>
              <w:top w:val="nil"/>
              <w:left w:val="nil"/>
              <w:bottom w:val="nil"/>
              <w:right w:val="nil"/>
            </w:tcBorders>
            <w:shd w:val="clear" w:color="auto" w:fill="auto"/>
            <w:noWrap/>
            <w:vAlign w:val="bottom"/>
          </w:tcPr>
          <w:p w14:paraId="625FB9EA"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-0.686</w:t>
            </w:r>
          </w:p>
        </w:tc>
        <w:tc>
          <w:tcPr>
            <w:tcW w:w="1585" w:type="dxa"/>
            <w:tcBorders>
              <w:top w:val="nil"/>
              <w:left w:val="nil"/>
              <w:bottom w:val="nil"/>
              <w:right w:val="nil"/>
            </w:tcBorders>
            <w:shd w:val="clear" w:color="auto" w:fill="auto"/>
            <w:noWrap/>
            <w:vAlign w:val="bottom"/>
          </w:tcPr>
          <w:p w14:paraId="0D6C2A7D"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0.50</w:t>
            </w:r>
          </w:p>
        </w:tc>
        <w:tc>
          <w:tcPr>
            <w:tcW w:w="1697" w:type="dxa"/>
            <w:tcBorders>
              <w:top w:val="nil"/>
              <w:left w:val="nil"/>
              <w:bottom w:val="nil"/>
              <w:right w:val="single" w:sz="4" w:space="0" w:color="auto"/>
            </w:tcBorders>
            <w:shd w:val="clear" w:color="auto" w:fill="auto"/>
            <w:noWrap/>
            <w:vAlign w:val="bottom"/>
          </w:tcPr>
          <w:p w14:paraId="09A6C725"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0.43, 0.60</w:t>
            </w:r>
          </w:p>
        </w:tc>
      </w:tr>
      <w:tr w:rsidR="00576894" w:rsidRPr="008B025A" w14:paraId="21D4C34B"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525ADFA1"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Other/Unknown</w:t>
            </w:r>
          </w:p>
        </w:tc>
        <w:tc>
          <w:tcPr>
            <w:tcW w:w="1950" w:type="dxa"/>
            <w:tcBorders>
              <w:top w:val="nil"/>
              <w:left w:val="nil"/>
              <w:bottom w:val="nil"/>
              <w:right w:val="nil"/>
            </w:tcBorders>
            <w:shd w:val="clear" w:color="auto" w:fill="auto"/>
            <w:noWrap/>
            <w:vAlign w:val="bottom"/>
          </w:tcPr>
          <w:p w14:paraId="03421442"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-0.393</w:t>
            </w:r>
          </w:p>
        </w:tc>
        <w:tc>
          <w:tcPr>
            <w:tcW w:w="1585" w:type="dxa"/>
            <w:tcBorders>
              <w:top w:val="nil"/>
              <w:left w:val="nil"/>
              <w:bottom w:val="nil"/>
              <w:right w:val="nil"/>
            </w:tcBorders>
            <w:shd w:val="clear" w:color="auto" w:fill="auto"/>
            <w:noWrap/>
            <w:vAlign w:val="bottom"/>
          </w:tcPr>
          <w:p w14:paraId="190FE99E"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0.68</w:t>
            </w:r>
          </w:p>
        </w:tc>
        <w:tc>
          <w:tcPr>
            <w:tcW w:w="1697" w:type="dxa"/>
            <w:tcBorders>
              <w:top w:val="nil"/>
              <w:left w:val="nil"/>
              <w:bottom w:val="nil"/>
              <w:right w:val="single" w:sz="4" w:space="0" w:color="auto"/>
            </w:tcBorders>
            <w:shd w:val="clear" w:color="auto" w:fill="auto"/>
            <w:noWrap/>
            <w:vAlign w:val="bottom"/>
          </w:tcPr>
          <w:p w14:paraId="12820A60"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0.59, 0.78</w:t>
            </w:r>
          </w:p>
        </w:tc>
      </w:tr>
      <w:tr w:rsidR="00576894" w:rsidRPr="008B025A" w14:paraId="46714A8E"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7A54D37B"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Temperature </w:t>
            </w:r>
          </w:p>
        </w:tc>
        <w:tc>
          <w:tcPr>
            <w:tcW w:w="1950" w:type="dxa"/>
            <w:tcBorders>
              <w:top w:val="nil"/>
              <w:left w:val="nil"/>
              <w:bottom w:val="nil"/>
              <w:right w:val="nil"/>
            </w:tcBorders>
            <w:shd w:val="clear" w:color="auto" w:fill="auto"/>
            <w:noWrap/>
            <w:vAlign w:val="bottom"/>
            <w:hideMark/>
          </w:tcPr>
          <w:p w14:paraId="2342219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-0.282</w:t>
            </w:r>
          </w:p>
        </w:tc>
        <w:tc>
          <w:tcPr>
            <w:tcW w:w="1585" w:type="dxa"/>
            <w:tcBorders>
              <w:top w:val="nil"/>
              <w:left w:val="nil"/>
              <w:bottom w:val="nil"/>
              <w:right w:val="nil"/>
            </w:tcBorders>
            <w:shd w:val="clear" w:color="auto" w:fill="auto"/>
            <w:noWrap/>
            <w:vAlign w:val="bottom"/>
            <w:hideMark/>
          </w:tcPr>
          <w:p w14:paraId="3B0EE30A"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0.75</w:t>
            </w:r>
          </w:p>
        </w:tc>
        <w:tc>
          <w:tcPr>
            <w:tcW w:w="1697" w:type="dxa"/>
            <w:tcBorders>
              <w:top w:val="nil"/>
              <w:left w:val="nil"/>
              <w:bottom w:val="nil"/>
              <w:right w:val="single" w:sz="4" w:space="0" w:color="auto"/>
            </w:tcBorders>
            <w:shd w:val="clear" w:color="auto" w:fill="auto"/>
            <w:noWrap/>
            <w:vAlign w:val="bottom"/>
            <w:hideMark/>
          </w:tcPr>
          <w:p w14:paraId="4528B9EB"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0.70, 0.82</w:t>
            </w:r>
          </w:p>
        </w:tc>
      </w:tr>
      <w:tr w:rsidR="00576894" w:rsidRPr="008B025A" w14:paraId="1D1B3DDF"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03460FCB"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Hospital Acquired Infection</w:t>
            </w:r>
          </w:p>
        </w:tc>
        <w:tc>
          <w:tcPr>
            <w:tcW w:w="1950" w:type="dxa"/>
            <w:tcBorders>
              <w:top w:val="nil"/>
              <w:left w:val="nil"/>
              <w:bottom w:val="nil"/>
              <w:right w:val="nil"/>
            </w:tcBorders>
            <w:shd w:val="clear" w:color="auto" w:fill="auto"/>
            <w:noWrap/>
            <w:vAlign w:val="bottom"/>
            <w:hideMark/>
          </w:tcPr>
          <w:p w14:paraId="31D888EF"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-0.905</w:t>
            </w:r>
          </w:p>
        </w:tc>
        <w:tc>
          <w:tcPr>
            <w:tcW w:w="1585" w:type="dxa"/>
            <w:tcBorders>
              <w:top w:val="nil"/>
              <w:left w:val="nil"/>
              <w:bottom w:val="nil"/>
              <w:right w:val="nil"/>
            </w:tcBorders>
            <w:shd w:val="clear" w:color="auto" w:fill="auto"/>
            <w:noWrap/>
            <w:vAlign w:val="bottom"/>
            <w:hideMark/>
          </w:tcPr>
          <w:p w14:paraId="5B09F66B"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0.41</w:t>
            </w:r>
          </w:p>
        </w:tc>
        <w:tc>
          <w:tcPr>
            <w:tcW w:w="1697" w:type="dxa"/>
            <w:tcBorders>
              <w:top w:val="nil"/>
              <w:left w:val="nil"/>
              <w:bottom w:val="nil"/>
              <w:right w:val="single" w:sz="4" w:space="0" w:color="auto"/>
            </w:tcBorders>
            <w:shd w:val="clear" w:color="auto" w:fill="auto"/>
            <w:noWrap/>
            <w:vAlign w:val="bottom"/>
            <w:hideMark/>
          </w:tcPr>
          <w:p w14:paraId="283F3D31"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0.35, 0.47</w:t>
            </w:r>
          </w:p>
        </w:tc>
      </w:tr>
      <w:tr w:rsidR="00576894" w:rsidRPr="008B025A" w14:paraId="0C52F2C3"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392148E9"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Serum Lactate Level (</w:t>
            </w:r>
            <w:r>
              <w:rPr>
                <w:rFonts w:ascii="Arial" w:hAnsi="Arial" w:cs="Arial"/>
                <w:color w:val="000000"/>
                <w:sz w:val="24"/>
                <w:szCs w:val="24"/>
              </w:rPr>
              <w:t xml:space="preserve">per </w:t>
            </w:r>
            <w:proofErr w:type="spellStart"/>
            <w:r w:rsidRPr="001723D0">
              <w:rPr>
                <w:rFonts w:ascii="Arial" w:hAnsi="Arial" w:cs="Arial"/>
                <w:color w:val="000000"/>
                <w:sz w:val="24"/>
                <w:szCs w:val="24"/>
              </w:rPr>
              <w:t>mmol</w:t>
            </w:r>
            <w:proofErr w:type="spellEnd"/>
            <w:r w:rsidRPr="001723D0">
              <w:rPr>
                <w:rFonts w:ascii="Arial" w:hAnsi="Arial" w:cs="Arial"/>
                <w:color w:val="000000"/>
                <w:sz w:val="24"/>
                <w:szCs w:val="24"/>
              </w:rPr>
              <w:t>/L)</w:t>
            </w:r>
          </w:p>
        </w:tc>
        <w:tc>
          <w:tcPr>
            <w:tcW w:w="1950" w:type="dxa"/>
            <w:tcBorders>
              <w:top w:val="nil"/>
              <w:left w:val="nil"/>
              <w:bottom w:val="nil"/>
              <w:right w:val="nil"/>
            </w:tcBorders>
            <w:shd w:val="clear" w:color="auto" w:fill="auto"/>
            <w:noWrap/>
            <w:vAlign w:val="bottom"/>
            <w:hideMark/>
          </w:tcPr>
          <w:p w14:paraId="4CF6F5A0" w14:textId="133279BD"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0.0</w:t>
            </w:r>
            <w:r w:rsidR="006A7DBC">
              <w:rPr>
                <w:rFonts w:ascii="Arial" w:hAnsi="Arial" w:cs="Arial"/>
                <w:color w:val="000000"/>
                <w:sz w:val="24"/>
                <w:szCs w:val="24"/>
              </w:rPr>
              <w:t>57</w:t>
            </w:r>
          </w:p>
        </w:tc>
        <w:tc>
          <w:tcPr>
            <w:tcW w:w="1585" w:type="dxa"/>
            <w:tcBorders>
              <w:top w:val="nil"/>
              <w:left w:val="nil"/>
              <w:bottom w:val="nil"/>
              <w:right w:val="nil"/>
            </w:tcBorders>
            <w:shd w:val="clear" w:color="auto" w:fill="auto"/>
            <w:noWrap/>
            <w:vAlign w:val="bottom"/>
            <w:hideMark/>
          </w:tcPr>
          <w:p w14:paraId="3939D2F1" w14:textId="2DDBB37D"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1.0</w:t>
            </w:r>
            <w:r w:rsidR="006A7DBC">
              <w:rPr>
                <w:rFonts w:ascii="Arial" w:hAnsi="Arial" w:cs="Arial"/>
                <w:color w:val="000000"/>
                <w:sz w:val="24"/>
                <w:szCs w:val="24"/>
              </w:rPr>
              <w:t>6</w:t>
            </w:r>
          </w:p>
        </w:tc>
        <w:tc>
          <w:tcPr>
            <w:tcW w:w="1697" w:type="dxa"/>
            <w:tcBorders>
              <w:top w:val="nil"/>
              <w:left w:val="nil"/>
              <w:bottom w:val="nil"/>
              <w:right w:val="single" w:sz="4" w:space="0" w:color="auto"/>
            </w:tcBorders>
            <w:shd w:val="clear" w:color="auto" w:fill="auto"/>
            <w:noWrap/>
            <w:vAlign w:val="bottom"/>
            <w:hideMark/>
          </w:tcPr>
          <w:p w14:paraId="7A5E3CE4" w14:textId="675EA264"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Pr>
                <w:rFonts w:ascii="Arial" w:hAnsi="Arial" w:cs="Arial"/>
                <w:color w:val="000000"/>
                <w:sz w:val="24"/>
                <w:szCs w:val="24"/>
              </w:rPr>
              <w:t>0</w:t>
            </w:r>
            <w:r w:rsidR="006A7DBC">
              <w:rPr>
                <w:rFonts w:ascii="Arial" w:hAnsi="Arial" w:cs="Arial"/>
                <w:color w:val="000000"/>
                <w:sz w:val="24"/>
                <w:szCs w:val="24"/>
              </w:rPr>
              <w:t>4,</w:t>
            </w:r>
            <w:r w:rsidRPr="001723D0">
              <w:rPr>
                <w:rFonts w:ascii="Arial" w:hAnsi="Arial" w:cs="Arial"/>
                <w:color w:val="000000"/>
                <w:sz w:val="24"/>
                <w:szCs w:val="24"/>
              </w:rPr>
              <w:t xml:space="preserve"> 1.</w:t>
            </w:r>
            <w:r w:rsidR="006A7DBC">
              <w:rPr>
                <w:rFonts w:ascii="Arial" w:hAnsi="Arial" w:cs="Arial"/>
                <w:color w:val="000000"/>
                <w:sz w:val="24"/>
                <w:szCs w:val="24"/>
              </w:rPr>
              <w:t>08</w:t>
            </w:r>
          </w:p>
        </w:tc>
      </w:tr>
      <w:tr w:rsidR="00576894" w:rsidRPr="008B025A" w14:paraId="1181507C"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6537E719"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Initial Hypotension</w:t>
            </w:r>
          </w:p>
        </w:tc>
        <w:tc>
          <w:tcPr>
            <w:tcW w:w="1950" w:type="dxa"/>
            <w:tcBorders>
              <w:top w:val="nil"/>
              <w:left w:val="nil"/>
              <w:bottom w:val="nil"/>
              <w:right w:val="nil"/>
            </w:tcBorders>
            <w:shd w:val="clear" w:color="auto" w:fill="auto"/>
            <w:noWrap/>
            <w:vAlign w:val="bottom"/>
            <w:hideMark/>
          </w:tcPr>
          <w:p w14:paraId="2CA99621" w14:textId="0CA18A42"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591</w:t>
            </w:r>
          </w:p>
        </w:tc>
        <w:tc>
          <w:tcPr>
            <w:tcW w:w="1585" w:type="dxa"/>
            <w:tcBorders>
              <w:top w:val="nil"/>
              <w:left w:val="nil"/>
              <w:bottom w:val="nil"/>
              <w:right w:val="nil"/>
            </w:tcBorders>
            <w:shd w:val="clear" w:color="auto" w:fill="auto"/>
            <w:noWrap/>
            <w:vAlign w:val="bottom"/>
            <w:hideMark/>
          </w:tcPr>
          <w:p w14:paraId="00F146FC" w14:textId="15A87F9F"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55</w:t>
            </w:r>
          </w:p>
        </w:tc>
        <w:tc>
          <w:tcPr>
            <w:tcW w:w="1697" w:type="dxa"/>
            <w:tcBorders>
              <w:top w:val="nil"/>
              <w:left w:val="nil"/>
              <w:bottom w:val="nil"/>
              <w:right w:val="single" w:sz="4" w:space="0" w:color="auto"/>
            </w:tcBorders>
            <w:shd w:val="clear" w:color="auto" w:fill="auto"/>
            <w:noWrap/>
            <w:vAlign w:val="bottom"/>
            <w:hideMark/>
          </w:tcPr>
          <w:p w14:paraId="433CE09A" w14:textId="2D5C8FE4"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50</w:t>
            </w:r>
            <w:r w:rsidRPr="001723D0">
              <w:rPr>
                <w:rFonts w:ascii="Arial" w:hAnsi="Arial" w:cs="Arial"/>
                <w:color w:val="000000"/>
                <w:sz w:val="24"/>
                <w:szCs w:val="24"/>
              </w:rPr>
              <w:t>, 0.</w:t>
            </w:r>
            <w:r w:rsidR="006A7DBC">
              <w:rPr>
                <w:rFonts w:ascii="Arial" w:hAnsi="Arial" w:cs="Arial"/>
                <w:color w:val="000000"/>
                <w:sz w:val="24"/>
                <w:szCs w:val="24"/>
              </w:rPr>
              <w:t>61</w:t>
            </w:r>
          </w:p>
        </w:tc>
      </w:tr>
      <w:tr w:rsidR="00576894" w:rsidRPr="008B025A" w14:paraId="1350B42E"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28F97080"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Altered Gas Exchange</w:t>
            </w:r>
          </w:p>
        </w:tc>
        <w:tc>
          <w:tcPr>
            <w:tcW w:w="1950" w:type="dxa"/>
            <w:tcBorders>
              <w:top w:val="nil"/>
              <w:left w:val="nil"/>
              <w:bottom w:val="nil"/>
              <w:right w:val="nil"/>
            </w:tcBorders>
            <w:shd w:val="clear" w:color="auto" w:fill="auto"/>
            <w:noWrap/>
            <w:vAlign w:val="bottom"/>
            <w:hideMark/>
          </w:tcPr>
          <w:p w14:paraId="045DB4F9" w14:textId="6ECAFBF3"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845</w:t>
            </w:r>
          </w:p>
        </w:tc>
        <w:tc>
          <w:tcPr>
            <w:tcW w:w="1585" w:type="dxa"/>
            <w:tcBorders>
              <w:top w:val="nil"/>
              <w:left w:val="nil"/>
              <w:bottom w:val="nil"/>
              <w:right w:val="nil"/>
            </w:tcBorders>
            <w:shd w:val="clear" w:color="auto" w:fill="auto"/>
            <w:noWrap/>
            <w:vAlign w:val="bottom"/>
            <w:hideMark/>
          </w:tcPr>
          <w:p w14:paraId="19F4591A" w14:textId="6ED61CEE"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4</w:t>
            </w:r>
            <w:r w:rsidR="006A7DBC">
              <w:rPr>
                <w:rFonts w:ascii="Arial" w:hAnsi="Arial" w:cs="Arial"/>
                <w:color w:val="000000"/>
                <w:sz w:val="24"/>
                <w:szCs w:val="24"/>
              </w:rPr>
              <w:t>3</w:t>
            </w:r>
          </w:p>
        </w:tc>
        <w:tc>
          <w:tcPr>
            <w:tcW w:w="1697" w:type="dxa"/>
            <w:tcBorders>
              <w:top w:val="nil"/>
              <w:left w:val="nil"/>
              <w:bottom w:val="nil"/>
              <w:right w:val="single" w:sz="4" w:space="0" w:color="auto"/>
            </w:tcBorders>
            <w:shd w:val="clear" w:color="auto" w:fill="auto"/>
            <w:noWrap/>
            <w:vAlign w:val="bottom"/>
            <w:hideMark/>
          </w:tcPr>
          <w:p w14:paraId="4E0AE71A" w14:textId="24B2C8C4" w:rsidR="00576894" w:rsidRPr="001723D0" w:rsidRDefault="00576894" w:rsidP="006A7DBC">
            <w:pPr>
              <w:spacing w:after="0" w:line="240" w:lineRule="auto"/>
              <w:jc w:val="center"/>
              <w:rPr>
                <w:rFonts w:ascii="Arial" w:hAnsi="Arial" w:cs="Arial"/>
                <w:color w:val="000000"/>
                <w:sz w:val="24"/>
                <w:szCs w:val="24"/>
              </w:rPr>
            </w:pPr>
            <w:r>
              <w:rPr>
                <w:rFonts w:ascii="Arial" w:hAnsi="Arial" w:cs="Arial"/>
                <w:color w:val="000000"/>
                <w:sz w:val="24"/>
                <w:szCs w:val="24"/>
              </w:rPr>
              <w:t>0.</w:t>
            </w:r>
            <w:r w:rsidR="006A7DBC">
              <w:rPr>
                <w:rFonts w:ascii="Arial" w:hAnsi="Arial" w:cs="Arial"/>
                <w:color w:val="000000"/>
                <w:sz w:val="24"/>
                <w:szCs w:val="24"/>
              </w:rPr>
              <w:t>38</w:t>
            </w:r>
            <w:r w:rsidRPr="001723D0">
              <w:rPr>
                <w:rFonts w:ascii="Arial" w:hAnsi="Arial" w:cs="Arial"/>
                <w:color w:val="000000"/>
                <w:sz w:val="24"/>
                <w:szCs w:val="24"/>
              </w:rPr>
              <w:t xml:space="preserve"> 0.</w:t>
            </w:r>
            <w:r w:rsidR="006A7DBC">
              <w:rPr>
                <w:rFonts w:ascii="Arial" w:hAnsi="Arial" w:cs="Arial"/>
                <w:color w:val="000000"/>
                <w:sz w:val="24"/>
                <w:szCs w:val="24"/>
              </w:rPr>
              <w:t>48</w:t>
            </w:r>
          </w:p>
        </w:tc>
      </w:tr>
      <w:tr w:rsidR="00576894" w:rsidRPr="008B025A" w14:paraId="176FB63D"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A1CF31F"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Altered Mental Status</w:t>
            </w:r>
          </w:p>
        </w:tc>
        <w:tc>
          <w:tcPr>
            <w:tcW w:w="1950" w:type="dxa"/>
            <w:tcBorders>
              <w:top w:val="nil"/>
              <w:left w:val="nil"/>
              <w:bottom w:val="nil"/>
              <w:right w:val="nil"/>
            </w:tcBorders>
            <w:shd w:val="clear" w:color="auto" w:fill="auto"/>
            <w:noWrap/>
            <w:vAlign w:val="bottom"/>
            <w:hideMark/>
          </w:tcPr>
          <w:p w14:paraId="63A7BEC2" w14:textId="0A29B095"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0.1</w:t>
            </w:r>
            <w:r w:rsidR="006A7DBC">
              <w:rPr>
                <w:rFonts w:ascii="Arial" w:hAnsi="Arial" w:cs="Arial"/>
                <w:color w:val="000000"/>
                <w:sz w:val="24"/>
                <w:szCs w:val="24"/>
              </w:rPr>
              <w:t>28</w:t>
            </w:r>
          </w:p>
        </w:tc>
        <w:tc>
          <w:tcPr>
            <w:tcW w:w="1585" w:type="dxa"/>
            <w:tcBorders>
              <w:top w:val="nil"/>
              <w:left w:val="nil"/>
              <w:bottom w:val="nil"/>
              <w:right w:val="nil"/>
            </w:tcBorders>
            <w:shd w:val="clear" w:color="auto" w:fill="auto"/>
            <w:noWrap/>
            <w:vAlign w:val="bottom"/>
            <w:hideMark/>
          </w:tcPr>
          <w:p w14:paraId="354DF1CB" w14:textId="660B7551"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1.1</w:t>
            </w:r>
            <w:r w:rsidR="006A7DBC">
              <w:rPr>
                <w:rFonts w:ascii="Arial" w:hAnsi="Arial" w:cs="Arial"/>
                <w:color w:val="000000"/>
                <w:sz w:val="24"/>
                <w:szCs w:val="24"/>
              </w:rPr>
              <w:t>4</w:t>
            </w:r>
          </w:p>
        </w:tc>
        <w:tc>
          <w:tcPr>
            <w:tcW w:w="1697" w:type="dxa"/>
            <w:tcBorders>
              <w:top w:val="nil"/>
              <w:left w:val="nil"/>
              <w:bottom w:val="nil"/>
              <w:right w:val="single" w:sz="4" w:space="0" w:color="auto"/>
            </w:tcBorders>
            <w:shd w:val="clear" w:color="auto" w:fill="auto"/>
            <w:noWrap/>
            <w:vAlign w:val="bottom"/>
            <w:hideMark/>
          </w:tcPr>
          <w:p w14:paraId="0A41C002" w14:textId="068A5CFC" w:rsidR="00576894" w:rsidRPr="001723D0" w:rsidRDefault="006A7DBC" w:rsidP="006A7DBC">
            <w:pPr>
              <w:spacing w:after="0" w:line="240" w:lineRule="auto"/>
              <w:jc w:val="center"/>
              <w:rPr>
                <w:rFonts w:ascii="Arial" w:hAnsi="Arial" w:cs="Arial"/>
                <w:color w:val="000000"/>
                <w:sz w:val="24"/>
                <w:szCs w:val="24"/>
              </w:rPr>
            </w:pPr>
            <w:r>
              <w:rPr>
                <w:rFonts w:ascii="Arial" w:hAnsi="Arial" w:cs="Arial"/>
                <w:color w:val="000000"/>
                <w:sz w:val="24"/>
                <w:szCs w:val="24"/>
              </w:rPr>
              <w:t>1</w:t>
            </w:r>
            <w:r w:rsidR="00576894" w:rsidRPr="001723D0">
              <w:rPr>
                <w:rFonts w:ascii="Arial" w:hAnsi="Arial" w:cs="Arial"/>
                <w:color w:val="000000"/>
                <w:sz w:val="24"/>
                <w:szCs w:val="24"/>
              </w:rPr>
              <w:t>.</w:t>
            </w:r>
            <w:r>
              <w:rPr>
                <w:rFonts w:ascii="Arial" w:hAnsi="Arial" w:cs="Arial"/>
                <w:color w:val="000000"/>
                <w:sz w:val="24"/>
                <w:szCs w:val="24"/>
              </w:rPr>
              <w:t>01</w:t>
            </w:r>
            <w:r w:rsidR="00576894" w:rsidRPr="001723D0">
              <w:rPr>
                <w:rFonts w:ascii="Arial" w:hAnsi="Arial" w:cs="Arial"/>
                <w:color w:val="000000"/>
                <w:sz w:val="24"/>
                <w:szCs w:val="24"/>
              </w:rPr>
              <w:t>, 1.</w:t>
            </w:r>
            <w:r w:rsidR="00576894">
              <w:rPr>
                <w:rFonts w:ascii="Arial" w:hAnsi="Arial" w:cs="Arial"/>
                <w:color w:val="000000"/>
                <w:sz w:val="24"/>
                <w:szCs w:val="24"/>
              </w:rPr>
              <w:t>28</w:t>
            </w:r>
          </w:p>
        </w:tc>
      </w:tr>
      <w:tr w:rsidR="00576894" w:rsidRPr="008B025A" w14:paraId="5B2E5296"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33AF0DC4"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Acute Kidney Injury</w:t>
            </w:r>
          </w:p>
        </w:tc>
        <w:tc>
          <w:tcPr>
            <w:tcW w:w="1950" w:type="dxa"/>
            <w:tcBorders>
              <w:top w:val="nil"/>
              <w:left w:val="nil"/>
              <w:bottom w:val="nil"/>
              <w:right w:val="nil"/>
            </w:tcBorders>
            <w:shd w:val="clear" w:color="auto" w:fill="auto"/>
            <w:noWrap/>
            <w:vAlign w:val="bottom"/>
            <w:hideMark/>
          </w:tcPr>
          <w:p w14:paraId="5DAFD63E" w14:textId="3CDA783D"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0.2</w:t>
            </w:r>
            <w:r w:rsidR="006A7DBC">
              <w:rPr>
                <w:rFonts w:ascii="Arial" w:hAnsi="Arial" w:cs="Arial"/>
                <w:color w:val="000000"/>
                <w:sz w:val="24"/>
                <w:szCs w:val="24"/>
              </w:rPr>
              <w:t>02</w:t>
            </w:r>
          </w:p>
        </w:tc>
        <w:tc>
          <w:tcPr>
            <w:tcW w:w="1585" w:type="dxa"/>
            <w:tcBorders>
              <w:top w:val="nil"/>
              <w:left w:val="nil"/>
              <w:bottom w:val="nil"/>
              <w:right w:val="nil"/>
            </w:tcBorders>
            <w:shd w:val="clear" w:color="auto" w:fill="auto"/>
            <w:noWrap/>
            <w:vAlign w:val="bottom"/>
            <w:hideMark/>
          </w:tcPr>
          <w:p w14:paraId="3DBAF1A6" w14:textId="4E62E0BE"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sidR="006A7DBC">
              <w:rPr>
                <w:rFonts w:ascii="Arial" w:hAnsi="Arial" w:cs="Arial"/>
                <w:color w:val="000000"/>
                <w:sz w:val="24"/>
                <w:szCs w:val="24"/>
              </w:rPr>
              <w:t>22</w:t>
            </w:r>
          </w:p>
        </w:tc>
        <w:tc>
          <w:tcPr>
            <w:tcW w:w="1697" w:type="dxa"/>
            <w:tcBorders>
              <w:top w:val="nil"/>
              <w:left w:val="nil"/>
              <w:bottom w:val="nil"/>
              <w:right w:val="single" w:sz="4" w:space="0" w:color="auto"/>
            </w:tcBorders>
            <w:shd w:val="clear" w:color="auto" w:fill="auto"/>
            <w:noWrap/>
            <w:vAlign w:val="bottom"/>
            <w:hideMark/>
          </w:tcPr>
          <w:p w14:paraId="47D54113" w14:textId="315B535B"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sidR="006A7DBC">
              <w:rPr>
                <w:rFonts w:ascii="Arial" w:hAnsi="Arial" w:cs="Arial"/>
                <w:color w:val="000000"/>
                <w:sz w:val="24"/>
                <w:szCs w:val="24"/>
              </w:rPr>
              <w:t>08</w:t>
            </w:r>
            <w:r w:rsidRPr="001723D0">
              <w:rPr>
                <w:rFonts w:ascii="Arial" w:hAnsi="Arial" w:cs="Arial"/>
                <w:color w:val="000000"/>
                <w:sz w:val="24"/>
                <w:szCs w:val="24"/>
              </w:rPr>
              <w:t>, 1.</w:t>
            </w:r>
            <w:r w:rsidR="006A7DBC">
              <w:rPr>
                <w:rFonts w:ascii="Arial" w:hAnsi="Arial" w:cs="Arial"/>
                <w:color w:val="000000"/>
                <w:sz w:val="24"/>
                <w:szCs w:val="24"/>
              </w:rPr>
              <w:t>39</w:t>
            </w:r>
          </w:p>
        </w:tc>
      </w:tr>
      <w:tr w:rsidR="00576894" w:rsidRPr="008B025A" w14:paraId="7A1D3E6B" w14:textId="77777777" w:rsidTr="00576894">
        <w:trPr>
          <w:trHeight w:val="304"/>
        </w:trPr>
        <w:tc>
          <w:tcPr>
            <w:tcW w:w="4608" w:type="dxa"/>
            <w:tcBorders>
              <w:top w:val="nil"/>
              <w:left w:val="single" w:sz="4" w:space="0" w:color="auto"/>
              <w:bottom w:val="single" w:sz="4" w:space="0" w:color="auto"/>
              <w:right w:val="nil"/>
            </w:tcBorders>
            <w:shd w:val="clear" w:color="auto" w:fill="auto"/>
            <w:noWrap/>
            <w:vAlign w:val="bottom"/>
            <w:hideMark/>
          </w:tcPr>
          <w:p w14:paraId="1B2338C9"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Coagulopathy</w:t>
            </w:r>
          </w:p>
        </w:tc>
        <w:tc>
          <w:tcPr>
            <w:tcW w:w="1950" w:type="dxa"/>
            <w:tcBorders>
              <w:top w:val="nil"/>
              <w:left w:val="nil"/>
              <w:bottom w:val="single" w:sz="4" w:space="0" w:color="auto"/>
              <w:right w:val="nil"/>
            </w:tcBorders>
            <w:shd w:val="clear" w:color="auto" w:fill="auto"/>
            <w:noWrap/>
            <w:vAlign w:val="bottom"/>
            <w:hideMark/>
          </w:tcPr>
          <w:p w14:paraId="314626E6"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208</w:t>
            </w:r>
          </w:p>
        </w:tc>
        <w:tc>
          <w:tcPr>
            <w:tcW w:w="1585" w:type="dxa"/>
            <w:tcBorders>
              <w:top w:val="nil"/>
              <w:left w:val="nil"/>
              <w:bottom w:val="single" w:sz="4" w:space="0" w:color="auto"/>
              <w:right w:val="nil"/>
            </w:tcBorders>
            <w:shd w:val="clear" w:color="auto" w:fill="auto"/>
            <w:noWrap/>
            <w:vAlign w:val="bottom"/>
            <w:hideMark/>
          </w:tcPr>
          <w:p w14:paraId="6B4F220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0.8</w:t>
            </w:r>
            <w:r>
              <w:rPr>
                <w:rFonts w:ascii="Arial"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bottom"/>
            <w:hideMark/>
          </w:tcPr>
          <w:p w14:paraId="55D8D2D6"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0.7</w:t>
            </w:r>
            <w:r>
              <w:rPr>
                <w:rFonts w:ascii="Arial" w:hAnsi="Arial" w:cs="Arial"/>
                <w:color w:val="000000"/>
                <w:sz w:val="24"/>
                <w:szCs w:val="24"/>
              </w:rPr>
              <w:t>1</w:t>
            </w:r>
            <w:r w:rsidRPr="001723D0">
              <w:rPr>
                <w:rFonts w:ascii="Arial" w:hAnsi="Arial" w:cs="Arial"/>
                <w:color w:val="000000"/>
                <w:sz w:val="24"/>
                <w:szCs w:val="24"/>
              </w:rPr>
              <w:t>, 0.9</w:t>
            </w:r>
            <w:r>
              <w:rPr>
                <w:rFonts w:ascii="Arial" w:hAnsi="Arial" w:cs="Arial"/>
                <w:color w:val="000000"/>
                <w:sz w:val="24"/>
                <w:szCs w:val="24"/>
              </w:rPr>
              <w:t>3</w:t>
            </w:r>
          </w:p>
        </w:tc>
      </w:tr>
      <w:tr w:rsidR="00576894" w:rsidRPr="008B025A" w14:paraId="7D2E92A5" w14:textId="77777777" w:rsidTr="00576894">
        <w:trPr>
          <w:trHeight w:val="304"/>
        </w:trPr>
        <w:tc>
          <w:tcPr>
            <w:tcW w:w="4608" w:type="dxa"/>
            <w:tcBorders>
              <w:top w:val="single" w:sz="4" w:space="0" w:color="auto"/>
              <w:left w:val="single" w:sz="4" w:space="0" w:color="auto"/>
              <w:right w:val="nil"/>
            </w:tcBorders>
            <w:shd w:val="clear" w:color="auto" w:fill="auto"/>
            <w:noWrap/>
            <w:vAlign w:val="bottom"/>
          </w:tcPr>
          <w:p w14:paraId="4EF0978A" w14:textId="6008FD83" w:rsidR="00576894" w:rsidRPr="001723D0" w:rsidRDefault="00576894" w:rsidP="006A7DBC">
            <w:pPr>
              <w:spacing w:after="0" w:line="240" w:lineRule="auto"/>
              <w:rPr>
                <w:rFonts w:ascii="Arial" w:hAnsi="Arial" w:cs="Arial"/>
                <w:color w:val="000000"/>
                <w:sz w:val="24"/>
                <w:szCs w:val="24"/>
              </w:rPr>
            </w:pPr>
            <w:r>
              <w:rPr>
                <w:rFonts w:ascii="Arial" w:hAnsi="Arial" w:cs="Arial"/>
                <w:color w:val="000000"/>
                <w:sz w:val="24"/>
                <w:szCs w:val="24"/>
              </w:rPr>
              <w:t>Hosmer-</w:t>
            </w:r>
            <w:proofErr w:type="spellStart"/>
            <w:r>
              <w:rPr>
                <w:rFonts w:ascii="Arial" w:hAnsi="Arial" w:cs="Arial"/>
                <w:color w:val="000000"/>
                <w:sz w:val="24"/>
                <w:szCs w:val="24"/>
              </w:rPr>
              <w:t>Lemeshow</w:t>
            </w:r>
            <w:proofErr w:type="spellEnd"/>
            <w:r>
              <w:rPr>
                <w:rFonts w:ascii="Arial" w:hAnsi="Arial" w:cs="Arial"/>
                <w:color w:val="000000"/>
                <w:sz w:val="24"/>
                <w:szCs w:val="24"/>
              </w:rPr>
              <w:t>: χ</w:t>
            </w:r>
            <w:r w:rsidRPr="00576894">
              <w:rPr>
                <w:rFonts w:ascii="Arial" w:hAnsi="Arial" w:cs="Arial"/>
                <w:color w:val="000000"/>
                <w:sz w:val="24"/>
                <w:szCs w:val="24"/>
                <w:vertAlign w:val="superscript"/>
              </w:rPr>
              <w:t>2</w:t>
            </w:r>
            <w:r w:rsidR="006A7DBC">
              <w:rPr>
                <w:rFonts w:ascii="Arial" w:hAnsi="Arial" w:cs="Arial"/>
                <w:color w:val="000000"/>
                <w:sz w:val="24"/>
                <w:szCs w:val="24"/>
              </w:rPr>
              <w:t xml:space="preserve"> = 9</w:t>
            </w:r>
            <w:r>
              <w:rPr>
                <w:rFonts w:ascii="Arial" w:hAnsi="Arial" w:cs="Arial"/>
                <w:color w:val="000000"/>
                <w:sz w:val="24"/>
                <w:szCs w:val="24"/>
              </w:rPr>
              <w:t>.</w:t>
            </w:r>
            <w:r w:rsidR="006A7DBC">
              <w:rPr>
                <w:rFonts w:ascii="Arial" w:hAnsi="Arial" w:cs="Arial"/>
                <w:color w:val="000000"/>
                <w:sz w:val="24"/>
                <w:szCs w:val="24"/>
              </w:rPr>
              <w:t>5</w:t>
            </w:r>
            <w:r>
              <w:rPr>
                <w:rFonts w:ascii="Arial" w:hAnsi="Arial" w:cs="Arial"/>
                <w:color w:val="000000"/>
                <w:sz w:val="24"/>
                <w:szCs w:val="24"/>
              </w:rPr>
              <w:t>, p=0.</w:t>
            </w:r>
            <w:r w:rsidR="006A7DBC">
              <w:rPr>
                <w:rFonts w:ascii="Arial" w:hAnsi="Arial" w:cs="Arial"/>
                <w:color w:val="000000"/>
                <w:sz w:val="24"/>
                <w:szCs w:val="24"/>
              </w:rPr>
              <w:t>3</w:t>
            </w:r>
            <w:r>
              <w:rPr>
                <w:rFonts w:ascii="Arial" w:hAnsi="Arial" w:cs="Arial"/>
                <w:color w:val="000000"/>
                <w:sz w:val="24"/>
                <w:szCs w:val="24"/>
              </w:rPr>
              <w:t>0</w:t>
            </w:r>
          </w:p>
        </w:tc>
        <w:tc>
          <w:tcPr>
            <w:tcW w:w="1950" w:type="dxa"/>
            <w:tcBorders>
              <w:top w:val="single" w:sz="4" w:space="0" w:color="auto"/>
              <w:left w:val="nil"/>
              <w:right w:val="nil"/>
            </w:tcBorders>
            <w:shd w:val="clear" w:color="auto" w:fill="auto"/>
            <w:noWrap/>
            <w:vAlign w:val="bottom"/>
          </w:tcPr>
          <w:p w14:paraId="7EF26EF5" w14:textId="77777777" w:rsidR="00576894" w:rsidRPr="001723D0" w:rsidRDefault="00576894" w:rsidP="00576894">
            <w:pPr>
              <w:spacing w:after="0" w:line="240" w:lineRule="auto"/>
              <w:jc w:val="center"/>
              <w:rPr>
                <w:rFonts w:ascii="Arial" w:hAnsi="Arial" w:cs="Arial"/>
                <w:color w:val="000000"/>
                <w:sz w:val="24"/>
                <w:szCs w:val="24"/>
              </w:rPr>
            </w:pPr>
          </w:p>
        </w:tc>
        <w:tc>
          <w:tcPr>
            <w:tcW w:w="1585" w:type="dxa"/>
            <w:tcBorders>
              <w:top w:val="single" w:sz="4" w:space="0" w:color="auto"/>
              <w:left w:val="nil"/>
              <w:right w:val="nil"/>
            </w:tcBorders>
            <w:shd w:val="clear" w:color="auto" w:fill="auto"/>
            <w:noWrap/>
            <w:vAlign w:val="bottom"/>
          </w:tcPr>
          <w:p w14:paraId="3597A770" w14:textId="77777777" w:rsidR="00576894" w:rsidRPr="001723D0" w:rsidRDefault="00576894" w:rsidP="00576894">
            <w:pPr>
              <w:spacing w:after="0" w:line="240" w:lineRule="auto"/>
              <w:jc w:val="center"/>
              <w:rPr>
                <w:rFonts w:ascii="Arial" w:hAnsi="Arial" w:cs="Arial"/>
                <w:color w:val="000000"/>
                <w:sz w:val="24"/>
                <w:szCs w:val="24"/>
              </w:rPr>
            </w:pPr>
          </w:p>
        </w:tc>
        <w:tc>
          <w:tcPr>
            <w:tcW w:w="1697" w:type="dxa"/>
            <w:tcBorders>
              <w:top w:val="single" w:sz="4" w:space="0" w:color="auto"/>
              <w:left w:val="nil"/>
              <w:right w:val="single" w:sz="4" w:space="0" w:color="auto"/>
            </w:tcBorders>
            <w:shd w:val="clear" w:color="auto" w:fill="auto"/>
            <w:noWrap/>
            <w:vAlign w:val="bottom"/>
          </w:tcPr>
          <w:p w14:paraId="15FF4609" w14:textId="77777777" w:rsidR="00576894" w:rsidRPr="001723D0" w:rsidRDefault="00576894" w:rsidP="00576894">
            <w:pPr>
              <w:spacing w:after="0" w:line="240" w:lineRule="auto"/>
              <w:jc w:val="center"/>
              <w:rPr>
                <w:rFonts w:ascii="Arial" w:hAnsi="Arial" w:cs="Arial"/>
                <w:color w:val="000000"/>
                <w:sz w:val="24"/>
                <w:szCs w:val="24"/>
              </w:rPr>
            </w:pPr>
          </w:p>
        </w:tc>
      </w:tr>
      <w:tr w:rsidR="00576894" w:rsidRPr="008B025A" w14:paraId="2930E309" w14:textId="77777777" w:rsidTr="00576894">
        <w:trPr>
          <w:trHeight w:val="304"/>
        </w:trPr>
        <w:tc>
          <w:tcPr>
            <w:tcW w:w="9840" w:type="dxa"/>
            <w:gridSpan w:val="4"/>
            <w:tcBorders>
              <w:left w:val="single" w:sz="4" w:space="0" w:color="auto"/>
              <w:bottom w:val="single" w:sz="4" w:space="0" w:color="auto"/>
              <w:right w:val="single" w:sz="4" w:space="0" w:color="auto"/>
            </w:tcBorders>
            <w:shd w:val="clear" w:color="auto" w:fill="auto"/>
            <w:noWrap/>
            <w:vAlign w:val="bottom"/>
          </w:tcPr>
          <w:p w14:paraId="7EBCB9CD" w14:textId="77777777" w:rsidR="00576894" w:rsidRPr="001723D0" w:rsidRDefault="00576894" w:rsidP="00576894">
            <w:pPr>
              <w:spacing w:after="0" w:line="240" w:lineRule="auto"/>
              <w:rPr>
                <w:rFonts w:ascii="Arial" w:hAnsi="Arial" w:cs="Arial"/>
                <w:color w:val="000000"/>
                <w:sz w:val="24"/>
                <w:szCs w:val="24"/>
              </w:rPr>
            </w:pPr>
            <w:r>
              <w:rPr>
                <w:rFonts w:ascii="Arial" w:hAnsi="Arial" w:cs="Arial"/>
                <w:color w:val="000000"/>
                <w:sz w:val="24"/>
                <w:szCs w:val="24"/>
              </w:rPr>
              <w:t xml:space="preserve">Model displays maximum likelihood estimates and </w:t>
            </w:r>
            <w:proofErr w:type="spellStart"/>
            <w:r>
              <w:rPr>
                <w:rFonts w:ascii="Arial" w:hAnsi="Arial" w:cs="Arial"/>
                <w:color w:val="000000"/>
                <w:sz w:val="24"/>
                <w:szCs w:val="24"/>
              </w:rPr>
              <w:t>exponentiated</w:t>
            </w:r>
            <w:proofErr w:type="spellEnd"/>
            <w:r>
              <w:rPr>
                <w:rFonts w:ascii="Arial" w:hAnsi="Arial" w:cs="Arial"/>
                <w:color w:val="000000"/>
                <w:sz w:val="24"/>
                <w:szCs w:val="24"/>
              </w:rPr>
              <w:t xml:space="preserve"> coefficient values with confidence intervals. The dependent variable is community-acquired vs. non-ICU hospital-hospital acquired sepsis, where positive estimates (and odds ratios &gt;1.0) indicate greater propensity for community-acquired.</w:t>
            </w:r>
          </w:p>
        </w:tc>
      </w:tr>
    </w:tbl>
    <w:p w14:paraId="5382A9F5" w14:textId="77777777" w:rsidR="00900B78" w:rsidRDefault="00900B78"/>
    <w:p w14:paraId="56BF061A" w14:textId="77777777" w:rsidR="00576894" w:rsidRDefault="00576894"/>
    <w:p w14:paraId="7959F513" w14:textId="77777777" w:rsidR="00576894" w:rsidRDefault="00576894">
      <w:r>
        <w:br w:type="page"/>
      </w:r>
    </w:p>
    <w:p w14:paraId="0B1BCDBF" w14:textId="77777777" w:rsidR="00576894" w:rsidRDefault="00576894"/>
    <w:tbl>
      <w:tblPr>
        <w:tblW w:w="9840" w:type="dxa"/>
        <w:tblLayout w:type="fixed"/>
        <w:tblLook w:val="04A0" w:firstRow="1" w:lastRow="0" w:firstColumn="1" w:lastColumn="0" w:noHBand="0" w:noVBand="1"/>
      </w:tblPr>
      <w:tblGrid>
        <w:gridCol w:w="4608"/>
        <w:gridCol w:w="1950"/>
        <w:gridCol w:w="1585"/>
        <w:gridCol w:w="1697"/>
      </w:tblGrid>
      <w:tr w:rsidR="00576894" w:rsidRPr="008B025A" w14:paraId="4C813ADB" w14:textId="77777777" w:rsidTr="00576894">
        <w:trPr>
          <w:trHeight w:val="171"/>
        </w:trPr>
        <w:tc>
          <w:tcPr>
            <w:tcW w:w="98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4B0C4F8" w14:textId="3D287ACB" w:rsidR="00576894" w:rsidRPr="008B025A" w:rsidRDefault="00576894" w:rsidP="00C148F7">
            <w:pPr>
              <w:rPr>
                <w:rFonts w:ascii="Arial" w:hAnsi="Arial" w:cs="Arial"/>
                <w:b/>
                <w:bCs/>
                <w:color w:val="000000"/>
                <w:sz w:val="28"/>
                <w:szCs w:val="28"/>
              </w:rPr>
            </w:pPr>
            <w:r>
              <w:rPr>
                <w:rFonts w:ascii="Arial" w:hAnsi="Arial" w:cs="Arial"/>
                <w:b/>
                <w:bCs/>
                <w:color w:val="000000"/>
                <w:sz w:val="28"/>
                <w:szCs w:val="28"/>
              </w:rPr>
              <w:t xml:space="preserve">Supplemental </w:t>
            </w:r>
            <w:r w:rsidRPr="008B025A">
              <w:rPr>
                <w:rFonts w:ascii="Arial" w:hAnsi="Arial" w:cs="Arial"/>
                <w:b/>
                <w:bCs/>
                <w:color w:val="000000"/>
                <w:sz w:val="28"/>
                <w:szCs w:val="28"/>
              </w:rPr>
              <w:t xml:space="preserve">Table </w:t>
            </w:r>
            <w:r w:rsidR="00C148F7">
              <w:rPr>
                <w:rFonts w:ascii="Arial" w:hAnsi="Arial" w:cs="Arial"/>
                <w:b/>
                <w:bCs/>
                <w:color w:val="000000"/>
                <w:sz w:val="28"/>
                <w:szCs w:val="28"/>
              </w:rPr>
              <w:t>5</w:t>
            </w:r>
            <w:r w:rsidRPr="008B025A">
              <w:rPr>
                <w:rFonts w:ascii="Arial" w:hAnsi="Arial" w:cs="Arial"/>
                <w:b/>
                <w:bCs/>
                <w:color w:val="000000"/>
                <w:sz w:val="28"/>
                <w:szCs w:val="28"/>
              </w:rPr>
              <w:t xml:space="preserve">: Propensity </w:t>
            </w:r>
            <w:r>
              <w:rPr>
                <w:rFonts w:ascii="Arial" w:hAnsi="Arial" w:cs="Arial"/>
                <w:b/>
                <w:bCs/>
                <w:color w:val="000000"/>
                <w:sz w:val="28"/>
                <w:szCs w:val="28"/>
              </w:rPr>
              <w:t>Model for Community-Acquired vs. Non-ICU Hospital-Acquired Sepsis</w:t>
            </w:r>
            <w:r w:rsidR="006A7DBC">
              <w:rPr>
                <w:rFonts w:ascii="Arial" w:hAnsi="Arial" w:cs="Arial"/>
                <w:b/>
                <w:bCs/>
                <w:color w:val="000000"/>
                <w:sz w:val="28"/>
                <w:szCs w:val="28"/>
              </w:rPr>
              <w:t xml:space="preserve"> (Sensitivity Analysis)</w:t>
            </w:r>
          </w:p>
        </w:tc>
      </w:tr>
      <w:tr w:rsidR="00576894" w:rsidRPr="008B025A" w14:paraId="51167E1E" w14:textId="77777777" w:rsidTr="00576894">
        <w:trPr>
          <w:trHeight w:val="326"/>
        </w:trPr>
        <w:tc>
          <w:tcPr>
            <w:tcW w:w="4608" w:type="dxa"/>
            <w:tcBorders>
              <w:top w:val="nil"/>
              <w:left w:val="single" w:sz="4" w:space="0" w:color="auto"/>
              <w:bottom w:val="single" w:sz="4" w:space="0" w:color="auto"/>
              <w:right w:val="nil"/>
            </w:tcBorders>
            <w:shd w:val="clear" w:color="auto" w:fill="auto"/>
            <w:noWrap/>
            <w:vAlign w:val="bottom"/>
            <w:hideMark/>
          </w:tcPr>
          <w:p w14:paraId="14BBB875" w14:textId="77777777" w:rsidR="00576894" w:rsidRPr="001723D0" w:rsidRDefault="00576894" w:rsidP="00576894">
            <w:pPr>
              <w:spacing w:after="0" w:line="240" w:lineRule="auto"/>
              <w:rPr>
                <w:rFonts w:ascii="Arial" w:hAnsi="Arial" w:cs="Arial"/>
                <w:b/>
                <w:bCs/>
                <w:color w:val="000000"/>
                <w:sz w:val="24"/>
                <w:szCs w:val="24"/>
              </w:rPr>
            </w:pPr>
            <w:r w:rsidRPr="001723D0">
              <w:rPr>
                <w:rFonts w:ascii="Arial" w:hAnsi="Arial" w:cs="Arial"/>
                <w:b/>
                <w:bCs/>
                <w:color w:val="000000"/>
                <w:sz w:val="24"/>
                <w:szCs w:val="24"/>
              </w:rPr>
              <w:t>Variable</w:t>
            </w:r>
          </w:p>
        </w:tc>
        <w:tc>
          <w:tcPr>
            <w:tcW w:w="1950" w:type="dxa"/>
            <w:tcBorders>
              <w:top w:val="nil"/>
              <w:left w:val="nil"/>
              <w:bottom w:val="single" w:sz="4" w:space="0" w:color="auto"/>
              <w:right w:val="nil"/>
            </w:tcBorders>
            <w:shd w:val="clear" w:color="auto" w:fill="auto"/>
            <w:vAlign w:val="bottom"/>
            <w:hideMark/>
          </w:tcPr>
          <w:p w14:paraId="00A00C44"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(β)</w:t>
            </w:r>
            <w:r>
              <w:rPr>
                <w:rFonts w:ascii="Arial" w:hAnsi="Arial" w:cs="Arial"/>
                <w:b/>
                <w:bCs/>
                <w:color w:val="000000"/>
                <w:sz w:val="24"/>
                <w:szCs w:val="24"/>
              </w:rPr>
              <w:t xml:space="preserve"> </w:t>
            </w:r>
            <w:r w:rsidRPr="001723D0">
              <w:rPr>
                <w:rFonts w:ascii="Arial" w:hAnsi="Arial" w:cs="Arial"/>
                <w:b/>
                <w:bCs/>
                <w:color w:val="000000"/>
                <w:sz w:val="24"/>
                <w:szCs w:val="24"/>
              </w:rPr>
              <w:t xml:space="preserve">Propensity Coefficient </w:t>
            </w:r>
          </w:p>
        </w:tc>
        <w:tc>
          <w:tcPr>
            <w:tcW w:w="1585" w:type="dxa"/>
            <w:tcBorders>
              <w:top w:val="nil"/>
              <w:left w:val="nil"/>
              <w:bottom w:val="single" w:sz="4" w:space="0" w:color="auto"/>
              <w:right w:val="nil"/>
            </w:tcBorders>
            <w:shd w:val="clear" w:color="auto" w:fill="auto"/>
            <w:vAlign w:val="bottom"/>
            <w:hideMark/>
          </w:tcPr>
          <w:p w14:paraId="1703432E"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Odds Ratio</w:t>
            </w:r>
          </w:p>
        </w:tc>
        <w:tc>
          <w:tcPr>
            <w:tcW w:w="1697" w:type="dxa"/>
            <w:tcBorders>
              <w:top w:val="nil"/>
              <w:left w:val="nil"/>
              <w:bottom w:val="single" w:sz="4" w:space="0" w:color="auto"/>
              <w:right w:val="single" w:sz="4" w:space="0" w:color="auto"/>
            </w:tcBorders>
            <w:shd w:val="clear" w:color="auto" w:fill="auto"/>
            <w:vAlign w:val="bottom"/>
            <w:hideMark/>
          </w:tcPr>
          <w:p w14:paraId="7334F135" w14:textId="77777777" w:rsidR="00576894" w:rsidRPr="001723D0" w:rsidRDefault="00576894" w:rsidP="00576894">
            <w:pPr>
              <w:spacing w:after="0" w:line="240" w:lineRule="auto"/>
              <w:jc w:val="center"/>
              <w:rPr>
                <w:rFonts w:ascii="Arial" w:hAnsi="Arial" w:cs="Arial"/>
                <w:b/>
                <w:bCs/>
                <w:color w:val="000000"/>
                <w:sz w:val="24"/>
                <w:szCs w:val="24"/>
              </w:rPr>
            </w:pPr>
            <w:r w:rsidRPr="001723D0">
              <w:rPr>
                <w:rFonts w:ascii="Arial" w:hAnsi="Arial" w:cs="Arial"/>
                <w:b/>
                <w:bCs/>
                <w:color w:val="000000"/>
                <w:sz w:val="24"/>
                <w:szCs w:val="24"/>
              </w:rPr>
              <w:t>95% CI</w:t>
            </w:r>
          </w:p>
        </w:tc>
      </w:tr>
      <w:tr w:rsidR="00576894" w:rsidRPr="008B025A" w14:paraId="60B8094B"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66F130DE"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Age </w:t>
            </w:r>
          </w:p>
        </w:tc>
        <w:tc>
          <w:tcPr>
            <w:tcW w:w="1950" w:type="dxa"/>
            <w:tcBorders>
              <w:top w:val="nil"/>
              <w:left w:val="nil"/>
              <w:bottom w:val="nil"/>
              <w:right w:val="nil"/>
            </w:tcBorders>
            <w:shd w:val="clear" w:color="auto" w:fill="auto"/>
            <w:noWrap/>
            <w:vAlign w:val="bottom"/>
            <w:hideMark/>
          </w:tcPr>
          <w:p w14:paraId="4DECAB09" w14:textId="4B49827A"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0.00</w:t>
            </w:r>
            <w:r w:rsidR="006A7DBC">
              <w:rPr>
                <w:rFonts w:ascii="Arial" w:hAnsi="Arial" w:cs="Arial"/>
                <w:color w:val="000000"/>
                <w:sz w:val="24"/>
                <w:szCs w:val="24"/>
              </w:rPr>
              <w:t>1</w:t>
            </w:r>
          </w:p>
        </w:tc>
        <w:tc>
          <w:tcPr>
            <w:tcW w:w="1585" w:type="dxa"/>
            <w:tcBorders>
              <w:top w:val="nil"/>
              <w:left w:val="nil"/>
              <w:bottom w:val="nil"/>
              <w:right w:val="nil"/>
            </w:tcBorders>
            <w:shd w:val="clear" w:color="auto" w:fill="auto"/>
            <w:noWrap/>
            <w:vAlign w:val="bottom"/>
            <w:hideMark/>
          </w:tcPr>
          <w:p w14:paraId="0B6A51D0" w14:textId="72C67215" w:rsidR="00576894" w:rsidRPr="001723D0" w:rsidRDefault="006A7DBC" w:rsidP="00576894">
            <w:pPr>
              <w:spacing w:after="0" w:line="240" w:lineRule="auto"/>
              <w:jc w:val="center"/>
              <w:rPr>
                <w:rFonts w:ascii="Arial" w:hAnsi="Arial" w:cs="Arial"/>
                <w:color w:val="000000"/>
                <w:sz w:val="24"/>
                <w:szCs w:val="24"/>
              </w:rPr>
            </w:pPr>
            <w:r>
              <w:rPr>
                <w:rFonts w:ascii="Arial" w:hAnsi="Arial" w:cs="Arial"/>
                <w:color w:val="000000"/>
                <w:sz w:val="24"/>
                <w:szCs w:val="24"/>
              </w:rPr>
              <w:t>1.00</w:t>
            </w:r>
          </w:p>
        </w:tc>
        <w:tc>
          <w:tcPr>
            <w:tcW w:w="1697" w:type="dxa"/>
            <w:tcBorders>
              <w:top w:val="nil"/>
              <w:left w:val="nil"/>
              <w:bottom w:val="nil"/>
              <w:right w:val="single" w:sz="4" w:space="0" w:color="auto"/>
            </w:tcBorders>
            <w:shd w:val="clear" w:color="auto" w:fill="auto"/>
            <w:noWrap/>
            <w:vAlign w:val="bottom"/>
            <w:hideMark/>
          </w:tcPr>
          <w:p w14:paraId="08D14E5D"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1.00, 1.01</w:t>
            </w:r>
          </w:p>
        </w:tc>
      </w:tr>
      <w:tr w:rsidR="00576894" w:rsidRPr="008B025A" w14:paraId="76C0DA02"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0F497557"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Male Sex</w:t>
            </w:r>
          </w:p>
        </w:tc>
        <w:tc>
          <w:tcPr>
            <w:tcW w:w="1950" w:type="dxa"/>
            <w:tcBorders>
              <w:top w:val="nil"/>
              <w:left w:val="nil"/>
              <w:bottom w:val="nil"/>
              <w:right w:val="nil"/>
            </w:tcBorders>
            <w:shd w:val="clear" w:color="auto" w:fill="auto"/>
            <w:noWrap/>
            <w:vAlign w:val="bottom"/>
            <w:hideMark/>
          </w:tcPr>
          <w:p w14:paraId="10273E16" w14:textId="02CF7826"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-0.0</w:t>
            </w:r>
            <w:r w:rsidR="006A7DBC">
              <w:rPr>
                <w:rFonts w:ascii="Arial" w:hAnsi="Arial" w:cs="Arial"/>
                <w:color w:val="000000"/>
                <w:sz w:val="24"/>
                <w:szCs w:val="24"/>
              </w:rPr>
              <w:t>09</w:t>
            </w:r>
          </w:p>
        </w:tc>
        <w:tc>
          <w:tcPr>
            <w:tcW w:w="1585" w:type="dxa"/>
            <w:tcBorders>
              <w:top w:val="nil"/>
              <w:left w:val="nil"/>
              <w:bottom w:val="nil"/>
              <w:right w:val="nil"/>
            </w:tcBorders>
            <w:shd w:val="clear" w:color="auto" w:fill="auto"/>
            <w:noWrap/>
            <w:vAlign w:val="bottom"/>
            <w:hideMark/>
          </w:tcPr>
          <w:p w14:paraId="4C857D4D" w14:textId="13477016"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0.9</w:t>
            </w:r>
            <w:r w:rsidR="006A7DBC">
              <w:rPr>
                <w:rFonts w:ascii="Arial" w:hAnsi="Arial" w:cs="Arial"/>
                <w:color w:val="000000"/>
                <w:sz w:val="24"/>
                <w:szCs w:val="24"/>
              </w:rPr>
              <w:t>9</w:t>
            </w:r>
          </w:p>
        </w:tc>
        <w:tc>
          <w:tcPr>
            <w:tcW w:w="1697" w:type="dxa"/>
            <w:tcBorders>
              <w:top w:val="nil"/>
              <w:left w:val="nil"/>
              <w:bottom w:val="nil"/>
              <w:right w:val="single" w:sz="4" w:space="0" w:color="auto"/>
            </w:tcBorders>
            <w:shd w:val="clear" w:color="auto" w:fill="auto"/>
            <w:noWrap/>
            <w:vAlign w:val="bottom"/>
            <w:hideMark/>
          </w:tcPr>
          <w:p w14:paraId="3824CC5D" w14:textId="183AC20D"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0.8</w:t>
            </w:r>
            <w:r w:rsidR="006A7DBC">
              <w:rPr>
                <w:rFonts w:ascii="Arial" w:hAnsi="Arial" w:cs="Arial"/>
                <w:color w:val="000000"/>
                <w:sz w:val="24"/>
                <w:szCs w:val="24"/>
              </w:rPr>
              <w:t>8</w:t>
            </w:r>
            <w:r w:rsidRPr="001723D0">
              <w:rPr>
                <w:rFonts w:ascii="Arial" w:hAnsi="Arial" w:cs="Arial"/>
                <w:color w:val="000000"/>
                <w:sz w:val="24"/>
                <w:szCs w:val="24"/>
              </w:rPr>
              <w:t>, 1.</w:t>
            </w:r>
            <w:r w:rsidR="006A7DBC">
              <w:rPr>
                <w:rFonts w:ascii="Arial" w:hAnsi="Arial" w:cs="Arial"/>
                <w:color w:val="000000"/>
                <w:sz w:val="24"/>
                <w:szCs w:val="24"/>
              </w:rPr>
              <w:t>12</w:t>
            </w:r>
          </w:p>
        </w:tc>
      </w:tr>
      <w:tr w:rsidR="00576894" w:rsidRPr="008B025A" w14:paraId="56B3D7D5"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5F7870D7"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Tertiary Care Hospital</w:t>
            </w:r>
          </w:p>
        </w:tc>
        <w:tc>
          <w:tcPr>
            <w:tcW w:w="1950" w:type="dxa"/>
            <w:tcBorders>
              <w:top w:val="nil"/>
              <w:left w:val="nil"/>
              <w:bottom w:val="nil"/>
              <w:right w:val="nil"/>
            </w:tcBorders>
            <w:shd w:val="clear" w:color="auto" w:fill="auto"/>
            <w:noWrap/>
            <w:vAlign w:val="bottom"/>
            <w:hideMark/>
          </w:tcPr>
          <w:p w14:paraId="2A8DDA86" w14:textId="52CCEB50" w:rsidR="00576894" w:rsidRPr="001723D0" w:rsidRDefault="006A7DBC" w:rsidP="00576894">
            <w:pPr>
              <w:spacing w:after="0" w:line="240" w:lineRule="auto"/>
              <w:jc w:val="center"/>
              <w:rPr>
                <w:rFonts w:ascii="Arial" w:hAnsi="Arial" w:cs="Arial"/>
                <w:color w:val="000000"/>
                <w:sz w:val="24"/>
                <w:szCs w:val="24"/>
              </w:rPr>
            </w:pPr>
            <w:r>
              <w:rPr>
                <w:rFonts w:ascii="Arial" w:hAnsi="Arial" w:cs="Arial"/>
                <w:color w:val="000000"/>
                <w:sz w:val="24"/>
                <w:szCs w:val="24"/>
              </w:rPr>
              <w:t>0.001</w:t>
            </w:r>
          </w:p>
        </w:tc>
        <w:tc>
          <w:tcPr>
            <w:tcW w:w="1585" w:type="dxa"/>
            <w:tcBorders>
              <w:top w:val="nil"/>
              <w:left w:val="nil"/>
              <w:bottom w:val="nil"/>
              <w:right w:val="nil"/>
            </w:tcBorders>
            <w:shd w:val="clear" w:color="auto" w:fill="auto"/>
            <w:noWrap/>
            <w:vAlign w:val="bottom"/>
            <w:hideMark/>
          </w:tcPr>
          <w:p w14:paraId="1F05082B" w14:textId="2536D9D9" w:rsidR="00576894" w:rsidRPr="001723D0" w:rsidRDefault="006A7DBC" w:rsidP="006A7DBC">
            <w:pPr>
              <w:spacing w:after="0" w:line="240" w:lineRule="auto"/>
              <w:jc w:val="center"/>
              <w:rPr>
                <w:rFonts w:ascii="Arial" w:hAnsi="Arial" w:cs="Arial"/>
                <w:color w:val="000000"/>
                <w:sz w:val="24"/>
                <w:szCs w:val="24"/>
              </w:rPr>
            </w:pPr>
            <w:r>
              <w:rPr>
                <w:rFonts w:ascii="Arial" w:hAnsi="Arial" w:cs="Arial"/>
                <w:color w:val="000000"/>
                <w:sz w:val="24"/>
                <w:szCs w:val="24"/>
              </w:rPr>
              <w:t>1</w:t>
            </w:r>
            <w:r w:rsidR="00576894" w:rsidRPr="001723D0">
              <w:rPr>
                <w:rFonts w:ascii="Arial" w:hAnsi="Arial" w:cs="Arial"/>
                <w:color w:val="000000"/>
                <w:sz w:val="24"/>
                <w:szCs w:val="24"/>
              </w:rPr>
              <w:t>.</w:t>
            </w:r>
            <w:r>
              <w:rPr>
                <w:rFonts w:ascii="Arial" w:hAnsi="Arial" w:cs="Arial"/>
                <w:color w:val="000000"/>
                <w:sz w:val="24"/>
                <w:szCs w:val="24"/>
              </w:rPr>
              <w:t>00</w:t>
            </w:r>
          </w:p>
        </w:tc>
        <w:tc>
          <w:tcPr>
            <w:tcW w:w="1697" w:type="dxa"/>
            <w:tcBorders>
              <w:top w:val="nil"/>
              <w:left w:val="nil"/>
              <w:bottom w:val="nil"/>
              <w:right w:val="single" w:sz="4" w:space="0" w:color="auto"/>
            </w:tcBorders>
            <w:shd w:val="clear" w:color="auto" w:fill="auto"/>
            <w:noWrap/>
            <w:vAlign w:val="bottom"/>
            <w:hideMark/>
          </w:tcPr>
          <w:p w14:paraId="1F172A06" w14:textId="45BCA448"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0.88, 1.</w:t>
            </w:r>
            <w:r w:rsidR="006A7DBC">
              <w:rPr>
                <w:rFonts w:ascii="Arial" w:hAnsi="Arial" w:cs="Arial"/>
                <w:color w:val="000000"/>
                <w:sz w:val="24"/>
                <w:szCs w:val="24"/>
              </w:rPr>
              <w:t>15</w:t>
            </w:r>
          </w:p>
        </w:tc>
      </w:tr>
      <w:tr w:rsidR="00576894" w:rsidRPr="008B025A" w14:paraId="3EFE5B4F"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4C6BF44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Heart Failure</w:t>
            </w:r>
          </w:p>
        </w:tc>
        <w:tc>
          <w:tcPr>
            <w:tcW w:w="1950" w:type="dxa"/>
            <w:tcBorders>
              <w:top w:val="nil"/>
              <w:left w:val="nil"/>
              <w:bottom w:val="nil"/>
              <w:right w:val="nil"/>
            </w:tcBorders>
            <w:shd w:val="clear" w:color="auto" w:fill="auto"/>
            <w:noWrap/>
            <w:vAlign w:val="bottom"/>
            <w:hideMark/>
          </w:tcPr>
          <w:p w14:paraId="6487F35B" w14:textId="44DB2AE6"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195</w:t>
            </w:r>
          </w:p>
        </w:tc>
        <w:tc>
          <w:tcPr>
            <w:tcW w:w="1585" w:type="dxa"/>
            <w:tcBorders>
              <w:top w:val="nil"/>
              <w:left w:val="nil"/>
              <w:bottom w:val="nil"/>
              <w:right w:val="nil"/>
            </w:tcBorders>
            <w:shd w:val="clear" w:color="auto" w:fill="auto"/>
            <w:noWrap/>
            <w:vAlign w:val="bottom"/>
            <w:hideMark/>
          </w:tcPr>
          <w:p w14:paraId="4E8FCB8A" w14:textId="42A49AF9"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82</w:t>
            </w:r>
          </w:p>
        </w:tc>
        <w:tc>
          <w:tcPr>
            <w:tcW w:w="1697" w:type="dxa"/>
            <w:tcBorders>
              <w:top w:val="nil"/>
              <w:left w:val="nil"/>
              <w:bottom w:val="nil"/>
              <w:right w:val="single" w:sz="4" w:space="0" w:color="auto"/>
            </w:tcBorders>
            <w:shd w:val="clear" w:color="auto" w:fill="auto"/>
            <w:noWrap/>
            <w:vAlign w:val="bottom"/>
            <w:hideMark/>
          </w:tcPr>
          <w:p w14:paraId="7D805308" w14:textId="32523516"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70, 0.</w:t>
            </w:r>
            <w:r w:rsidRPr="001723D0">
              <w:rPr>
                <w:rFonts w:ascii="Arial" w:hAnsi="Arial" w:cs="Arial"/>
                <w:color w:val="000000"/>
                <w:sz w:val="24"/>
                <w:szCs w:val="24"/>
              </w:rPr>
              <w:t>9</w:t>
            </w:r>
            <w:r w:rsidR="006A7DBC">
              <w:rPr>
                <w:rFonts w:ascii="Arial" w:hAnsi="Arial" w:cs="Arial"/>
                <w:color w:val="000000"/>
                <w:sz w:val="24"/>
                <w:szCs w:val="24"/>
              </w:rPr>
              <w:t>7</w:t>
            </w:r>
          </w:p>
        </w:tc>
      </w:tr>
      <w:tr w:rsidR="00576894" w:rsidRPr="008B025A" w14:paraId="610EF6CC"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3F01B3DA"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Renal Failure</w:t>
            </w:r>
          </w:p>
        </w:tc>
        <w:tc>
          <w:tcPr>
            <w:tcW w:w="1950" w:type="dxa"/>
            <w:tcBorders>
              <w:top w:val="nil"/>
              <w:left w:val="nil"/>
              <w:bottom w:val="nil"/>
              <w:right w:val="nil"/>
            </w:tcBorders>
            <w:shd w:val="clear" w:color="auto" w:fill="auto"/>
            <w:noWrap/>
            <w:vAlign w:val="bottom"/>
            <w:hideMark/>
          </w:tcPr>
          <w:p w14:paraId="3F5D76FB" w14:textId="36E98A09"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460</w:t>
            </w:r>
          </w:p>
        </w:tc>
        <w:tc>
          <w:tcPr>
            <w:tcW w:w="1585" w:type="dxa"/>
            <w:tcBorders>
              <w:top w:val="nil"/>
              <w:left w:val="nil"/>
              <w:bottom w:val="nil"/>
              <w:right w:val="nil"/>
            </w:tcBorders>
            <w:shd w:val="clear" w:color="auto" w:fill="auto"/>
            <w:noWrap/>
            <w:vAlign w:val="bottom"/>
            <w:hideMark/>
          </w:tcPr>
          <w:p w14:paraId="7FAA4B47" w14:textId="06B4FFBF"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0.6</w:t>
            </w:r>
            <w:r w:rsidR="006A7DBC">
              <w:rPr>
                <w:rFonts w:ascii="Arial" w:hAnsi="Arial" w:cs="Arial"/>
                <w:color w:val="000000"/>
                <w:sz w:val="24"/>
                <w:szCs w:val="24"/>
              </w:rPr>
              <w:t>3</w:t>
            </w:r>
          </w:p>
        </w:tc>
        <w:tc>
          <w:tcPr>
            <w:tcW w:w="1697" w:type="dxa"/>
            <w:tcBorders>
              <w:top w:val="nil"/>
              <w:left w:val="nil"/>
              <w:bottom w:val="nil"/>
              <w:right w:val="single" w:sz="4" w:space="0" w:color="auto"/>
            </w:tcBorders>
            <w:shd w:val="clear" w:color="auto" w:fill="auto"/>
            <w:noWrap/>
            <w:vAlign w:val="bottom"/>
            <w:hideMark/>
          </w:tcPr>
          <w:p w14:paraId="4316E9AA" w14:textId="1340760C"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0.53, 0.</w:t>
            </w:r>
            <w:r w:rsidR="006A7DBC">
              <w:rPr>
                <w:rFonts w:ascii="Arial" w:hAnsi="Arial" w:cs="Arial"/>
                <w:color w:val="000000"/>
                <w:sz w:val="24"/>
                <w:szCs w:val="24"/>
              </w:rPr>
              <w:t>76</w:t>
            </w:r>
          </w:p>
        </w:tc>
      </w:tr>
      <w:tr w:rsidR="00576894" w:rsidRPr="008B025A" w14:paraId="3E3030E5"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61EDA5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COPD </w:t>
            </w:r>
          </w:p>
        </w:tc>
        <w:tc>
          <w:tcPr>
            <w:tcW w:w="1950" w:type="dxa"/>
            <w:tcBorders>
              <w:top w:val="nil"/>
              <w:left w:val="nil"/>
              <w:bottom w:val="nil"/>
              <w:right w:val="nil"/>
            </w:tcBorders>
            <w:shd w:val="clear" w:color="auto" w:fill="auto"/>
            <w:noWrap/>
            <w:vAlign w:val="bottom"/>
            <w:hideMark/>
          </w:tcPr>
          <w:p w14:paraId="38ABC4A1" w14:textId="045E8393"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0.70</w:t>
            </w:r>
            <w:r w:rsidR="006A7DBC">
              <w:rPr>
                <w:rFonts w:ascii="Arial" w:hAnsi="Arial" w:cs="Arial"/>
                <w:color w:val="000000"/>
                <w:sz w:val="24"/>
                <w:szCs w:val="24"/>
              </w:rPr>
              <w:t>8</w:t>
            </w:r>
          </w:p>
        </w:tc>
        <w:tc>
          <w:tcPr>
            <w:tcW w:w="1585" w:type="dxa"/>
            <w:tcBorders>
              <w:top w:val="nil"/>
              <w:left w:val="nil"/>
              <w:bottom w:val="nil"/>
              <w:right w:val="nil"/>
            </w:tcBorders>
            <w:shd w:val="clear" w:color="auto" w:fill="auto"/>
            <w:noWrap/>
            <w:vAlign w:val="bottom"/>
            <w:hideMark/>
          </w:tcPr>
          <w:p w14:paraId="30A319B9" w14:textId="56EEDBA4"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2.0</w:t>
            </w:r>
            <w:r w:rsidR="006A7DBC">
              <w:rPr>
                <w:rFonts w:ascii="Arial" w:hAnsi="Arial" w:cs="Arial"/>
                <w:color w:val="000000"/>
                <w:sz w:val="24"/>
                <w:szCs w:val="24"/>
              </w:rPr>
              <w:t>3</w:t>
            </w:r>
          </w:p>
        </w:tc>
        <w:tc>
          <w:tcPr>
            <w:tcW w:w="1697" w:type="dxa"/>
            <w:tcBorders>
              <w:top w:val="nil"/>
              <w:left w:val="nil"/>
              <w:bottom w:val="nil"/>
              <w:right w:val="single" w:sz="4" w:space="0" w:color="auto"/>
            </w:tcBorders>
            <w:shd w:val="clear" w:color="auto" w:fill="auto"/>
            <w:noWrap/>
            <w:vAlign w:val="bottom"/>
            <w:hideMark/>
          </w:tcPr>
          <w:p w14:paraId="7C1EA1C0" w14:textId="740255EA"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sidR="006A7DBC">
              <w:rPr>
                <w:rFonts w:ascii="Arial" w:hAnsi="Arial" w:cs="Arial"/>
                <w:color w:val="000000"/>
                <w:sz w:val="24"/>
                <w:szCs w:val="24"/>
              </w:rPr>
              <w:t>55, 2.66</w:t>
            </w:r>
          </w:p>
        </w:tc>
      </w:tr>
      <w:tr w:rsidR="00576894" w:rsidRPr="008B025A" w14:paraId="3C09D32E"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59D09BA1"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Diabetes </w:t>
            </w:r>
          </w:p>
        </w:tc>
        <w:tc>
          <w:tcPr>
            <w:tcW w:w="1950" w:type="dxa"/>
            <w:tcBorders>
              <w:top w:val="nil"/>
              <w:left w:val="nil"/>
              <w:bottom w:val="nil"/>
              <w:right w:val="nil"/>
            </w:tcBorders>
            <w:shd w:val="clear" w:color="auto" w:fill="auto"/>
            <w:noWrap/>
            <w:vAlign w:val="bottom"/>
            <w:hideMark/>
          </w:tcPr>
          <w:p w14:paraId="32EF528B" w14:textId="0D8DF65B"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6A7DBC">
              <w:rPr>
                <w:rFonts w:ascii="Arial" w:hAnsi="Arial" w:cs="Arial"/>
                <w:color w:val="000000"/>
                <w:sz w:val="24"/>
                <w:szCs w:val="24"/>
              </w:rPr>
              <w:t>113</w:t>
            </w:r>
          </w:p>
        </w:tc>
        <w:tc>
          <w:tcPr>
            <w:tcW w:w="1585" w:type="dxa"/>
            <w:tcBorders>
              <w:top w:val="nil"/>
              <w:left w:val="nil"/>
              <w:bottom w:val="nil"/>
              <w:right w:val="nil"/>
            </w:tcBorders>
            <w:shd w:val="clear" w:color="auto" w:fill="auto"/>
            <w:noWrap/>
            <w:vAlign w:val="bottom"/>
            <w:hideMark/>
          </w:tcPr>
          <w:p w14:paraId="223E7D48" w14:textId="0FAE706B"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sidR="006A7DBC">
              <w:rPr>
                <w:rFonts w:ascii="Arial" w:hAnsi="Arial" w:cs="Arial"/>
                <w:color w:val="000000"/>
                <w:sz w:val="24"/>
                <w:szCs w:val="24"/>
              </w:rPr>
              <w:t>12</w:t>
            </w:r>
          </w:p>
        </w:tc>
        <w:tc>
          <w:tcPr>
            <w:tcW w:w="1697" w:type="dxa"/>
            <w:tcBorders>
              <w:top w:val="nil"/>
              <w:left w:val="nil"/>
              <w:bottom w:val="nil"/>
              <w:right w:val="single" w:sz="4" w:space="0" w:color="auto"/>
            </w:tcBorders>
            <w:shd w:val="clear" w:color="auto" w:fill="auto"/>
            <w:noWrap/>
            <w:vAlign w:val="bottom"/>
            <w:hideMark/>
          </w:tcPr>
          <w:p w14:paraId="52590461" w14:textId="067E9E1E" w:rsidR="00576894" w:rsidRPr="001723D0" w:rsidRDefault="00576894" w:rsidP="006A7DBC">
            <w:pPr>
              <w:spacing w:after="0" w:line="240" w:lineRule="auto"/>
              <w:jc w:val="center"/>
              <w:rPr>
                <w:rFonts w:ascii="Arial" w:hAnsi="Arial" w:cs="Arial"/>
                <w:color w:val="000000"/>
                <w:sz w:val="24"/>
                <w:szCs w:val="24"/>
              </w:rPr>
            </w:pPr>
            <w:r w:rsidRPr="001723D0">
              <w:rPr>
                <w:rFonts w:ascii="Arial" w:hAnsi="Arial" w:cs="Arial"/>
                <w:color w:val="000000"/>
                <w:sz w:val="24"/>
                <w:szCs w:val="24"/>
              </w:rPr>
              <w:t>0.9</w:t>
            </w:r>
            <w:r w:rsidR="006A7DBC">
              <w:rPr>
                <w:rFonts w:ascii="Arial" w:hAnsi="Arial" w:cs="Arial"/>
                <w:color w:val="000000"/>
                <w:sz w:val="24"/>
                <w:szCs w:val="24"/>
              </w:rPr>
              <w:t>8</w:t>
            </w:r>
            <w:r w:rsidRPr="001723D0">
              <w:rPr>
                <w:rFonts w:ascii="Arial" w:hAnsi="Arial" w:cs="Arial"/>
                <w:color w:val="000000"/>
                <w:sz w:val="24"/>
                <w:szCs w:val="24"/>
              </w:rPr>
              <w:t>, 1.</w:t>
            </w:r>
            <w:r w:rsidR="006A7DBC">
              <w:rPr>
                <w:rFonts w:ascii="Arial" w:hAnsi="Arial" w:cs="Arial"/>
                <w:color w:val="000000"/>
                <w:sz w:val="24"/>
                <w:szCs w:val="24"/>
              </w:rPr>
              <w:t>28</w:t>
            </w:r>
          </w:p>
        </w:tc>
      </w:tr>
      <w:tr w:rsidR="00576894" w:rsidRPr="008B025A" w14:paraId="3B3D2B63"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5FF772A9"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Liver Failure</w:t>
            </w:r>
          </w:p>
        </w:tc>
        <w:tc>
          <w:tcPr>
            <w:tcW w:w="1950" w:type="dxa"/>
            <w:tcBorders>
              <w:top w:val="nil"/>
              <w:left w:val="nil"/>
              <w:bottom w:val="nil"/>
              <w:right w:val="nil"/>
            </w:tcBorders>
            <w:shd w:val="clear" w:color="auto" w:fill="auto"/>
            <w:noWrap/>
            <w:vAlign w:val="bottom"/>
            <w:hideMark/>
          </w:tcPr>
          <w:p w14:paraId="32F6AD43" w14:textId="61F32CE9"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-0.126</w:t>
            </w:r>
          </w:p>
        </w:tc>
        <w:tc>
          <w:tcPr>
            <w:tcW w:w="1585" w:type="dxa"/>
            <w:tcBorders>
              <w:top w:val="nil"/>
              <w:left w:val="nil"/>
              <w:bottom w:val="nil"/>
              <w:right w:val="nil"/>
            </w:tcBorders>
            <w:shd w:val="clear" w:color="auto" w:fill="auto"/>
            <w:noWrap/>
            <w:vAlign w:val="bottom"/>
            <w:hideMark/>
          </w:tcPr>
          <w:p w14:paraId="3C61C473" w14:textId="040E2C2E"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576894" w:rsidRPr="001723D0">
              <w:rPr>
                <w:rFonts w:ascii="Arial" w:hAnsi="Arial" w:cs="Arial"/>
                <w:color w:val="000000"/>
                <w:sz w:val="24"/>
                <w:szCs w:val="24"/>
              </w:rPr>
              <w:t>.</w:t>
            </w:r>
            <w:r>
              <w:rPr>
                <w:rFonts w:ascii="Arial" w:hAnsi="Arial" w:cs="Arial"/>
                <w:color w:val="000000"/>
                <w:sz w:val="24"/>
                <w:szCs w:val="24"/>
              </w:rPr>
              <w:t>88</w:t>
            </w:r>
          </w:p>
        </w:tc>
        <w:tc>
          <w:tcPr>
            <w:tcW w:w="1697" w:type="dxa"/>
            <w:tcBorders>
              <w:top w:val="nil"/>
              <w:left w:val="nil"/>
              <w:bottom w:val="nil"/>
              <w:right w:val="single" w:sz="4" w:space="0" w:color="auto"/>
            </w:tcBorders>
            <w:shd w:val="clear" w:color="auto" w:fill="auto"/>
            <w:noWrap/>
            <w:vAlign w:val="bottom"/>
            <w:hideMark/>
          </w:tcPr>
          <w:p w14:paraId="0DBA32D7" w14:textId="059FD402"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576894" w:rsidRPr="001723D0">
              <w:rPr>
                <w:rFonts w:ascii="Arial" w:hAnsi="Arial" w:cs="Arial"/>
                <w:color w:val="000000"/>
                <w:sz w:val="24"/>
                <w:szCs w:val="24"/>
              </w:rPr>
              <w:t>.</w:t>
            </w:r>
            <w:r>
              <w:rPr>
                <w:rFonts w:ascii="Arial" w:hAnsi="Arial" w:cs="Arial"/>
                <w:color w:val="000000"/>
                <w:sz w:val="24"/>
                <w:szCs w:val="24"/>
              </w:rPr>
              <w:t>56</w:t>
            </w:r>
            <w:r w:rsidR="00576894" w:rsidRPr="001723D0">
              <w:rPr>
                <w:rFonts w:ascii="Arial" w:hAnsi="Arial" w:cs="Arial"/>
                <w:color w:val="000000"/>
                <w:sz w:val="24"/>
                <w:szCs w:val="24"/>
              </w:rPr>
              <w:t>, 1.</w:t>
            </w:r>
            <w:r>
              <w:rPr>
                <w:rFonts w:ascii="Arial" w:hAnsi="Arial" w:cs="Arial"/>
                <w:color w:val="000000"/>
                <w:sz w:val="24"/>
                <w:szCs w:val="24"/>
              </w:rPr>
              <w:t>39</w:t>
            </w:r>
          </w:p>
        </w:tc>
      </w:tr>
      <w:tr w:rsidR="00366E88" w:rsidRPr="008B025A" w14:paraId="5D4669B8"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34B6412B" w14:textId="77777777" w:rsidR="00366E88" w:rsidRPr="001723D0" w:rsidRDefault="00366E88" w:rsidP="00576894">
            <w:pPr>
              <w:spacing w:after="0" w:line="240" w:lineRule="auto"/>
              <w:rPr>
                <w:rFonts w:ascii="Arial" w:hAnsi="Arial" w:cs="Arial"/>
                <w:color w:val="000000"/>
                <w:sz w:val="24"/>
                <w:szCs w:val="24"/>
              </w:rPr>
            </w:pPr>
            <w:proofErr w:type="spellStart"/>
            <w:r w:rsidRPr="001723D0">
              <w:rPr>
                <w:rFonts w:ascii="Arial" w:hAnsi="Arial" w:cs="Arial"/>
                <w:color w:val="000000"/>
                <w:sz w:val="24"/>
                <w:szCs w:val="24"/>
              </w:rPr>
              <w:t>Immunocompromise</w:t>
            </w:r>
            <w:proofErr w:type="spellEnd"/>
          </w:p>
        </w:tc>
        <w:tc>
          <w:tcPr>
            <w:tcW w:w="1950" w:type="dxa"/>
            <w:tcBorders>
              <w:top w:val="nil"/>
              <w:left w:val="nil"/>
              <w:bottom w:val="nil"/>
              <w:right w:val="nil"/>
            </w:tcBorders>
            <w:shd w:val="clear" w:color="auto" w:fill="auto"/>
            <w:noWrap/>
            <w:vAlign w:val="bottom"/>
            <w:hideMark/>
          </w:tcPr>
          <w:p w14:paraId="4EEEDE0B" w14:textId="56AA2B93" w:rsidR="00366E88" w:rsidRPr="001723D0" w:rsidRDefault="00366E88" w:rsidP="00576894">
            <w:pPr>
              <w:spacing w:after="0" w:line="240" w:lineRule="auto"/>
              <w:jc w:val="center"/>
              <w:rPr>
                <w:rFonts w:ascii="Arial" w:hAnsi="Arial" w:cs="Arial"/>
                <w:color w:val="000000"/>
                <w:sz w:val="24"/>
                <w:szCs w:val="24"/>
              </w:rPr>
            </w:pPr>
            <w:r>
              <w:rPr>
                <w:rFonts w:ascii="Arial" w:hAnsi="Arial" w:cs="Arial"/>
                <w:color w:val="000000"/>
                <w:sz w:val="24"/>
                <w:szCs w:val="24"/>
              </w:rPr>
              <w:t>0.245</w:t>
            </w:r>
          </w:p>
        </w:tc>
        <w:tc>
          <w:tcPr>
            <w:tcW w:w="1585" w:type="dxa"/>
            <w:tcBorders>
              <w:top w:val="nil"/>
              <w:left w:val="nil"/>
              <w:bottom w:val="nil"/>
              <w:right w:val="nil"/>
            </w:tcBorders>
            <w:shd w:val="clear" w:color="auto" w:fill="auto"/>
            <w:noWrap/>
            <w:vAlign w:val="bottom"/>
            <w:hideMark/>
          </w:tcPr>
          <w:p w14:paraId="3CC93A84" w14:textId="6668BD5B" w:rsidR="00366E88" w:rsidRPr="001723D0" w:rsidRDefault="00366E88" w:rsidP="00576894">
            <w:pPr>
              <w:spacing w:after="0" w:line="240" w:lineRule="auto"/>
              <w:jc w:val="center"/>
              <w:rPr>
                <w:rFonts w:ascii="Arial" w:hAnsi="Arial" w:cs="Arial"/>
                <w:color w:val="000000"/>
                <w:sz w:val="24"/>
                <w:szCs w:val="24"/>
              </w:rPr>
            </w:pPr>
            <w:r>
              <w:rPr>
                <w:rFonts w:ascii="Arial" w:hAnsi="Arial" w:cs="Arial"/>
                <w:color w:val="000000"/>
                <w:sz w:val="24"/>
                <w:szCs w:val="24"/>
              </w:rPr>
              <w:t>1</w:t>
            </w:r>
            <w:r w:rsidRPr="001723D0">
              <w:rPr>
                <w:rFonts w:ascii="Arial" w:hAnsi="Arial" w:cs="Arial"/>
                <w:color w:val="000000"/>
                <w:sz w:val="24"/>
                <w:szCs w:val="24"/>
              </w:rPr>
              <w:t>.</w:t>
            </w:r>
            <w:r>
              <w:rPr>
                <w:rFonts w:ascii="Arial" w:hAnsi="Arial" w:cs="Arial"/>
                <w:color w:val="000000"/>
                <w:sz w:val="24"/>
                <w:szCs w:val="24"/>
              </w:rPr>
              <w:t>28</w:t>
            </w:r>
          </w:p>
        </w:tc>
        <w:tc>
          <w:tcPr>
            <w:tcW w:w="1697" w:type="dxa"/>
            <w:tcBorders>
              <w:top w:val="nil"/>
              <w:left w:val="nil"/>
              <w:bottom w:val="nil"/>
              <w:right w:val="single" w:sz="4" w:space="0" w:color="auto"/>
            </w:tcBorders>
            <w:shd w:val="clear" w:color="auto" w:fill="auto"/>
            <w:noWrap/>
            <w:vAlign w:val="bottom"/>
            <w:hideMark/>
          </w:tcPr>
          <w:p w14:paraId="0ED6B0B9" w14:textId="26795AFD" w:rsidR="00366E88" w:rsidRPr="001723D0" w:rsidRDefault="00366E88" w:rsidP="00576894">
            <w:pPr>
              <w:spacing w:after="0" w:line="240" w:lineRule="auto"/>
              <w:jc w:val="center"/>
              <w:rPr>
                <w:rFonts w:ascii="Arial" w:hAnsi="Arial" w:cs="Arial"/>
                <w:color w:val="000000"/>
                <w:sz w:val="24"/>
                <w:szCs w:val="24"/>
              </w:rPr>
            </w:pPr>
            <w:r>
              <w:rPr>
                <w:rFonts w:ascii="Arial" w:hAnsi="Arial" w:cs="Arial"/>
                <w:color w:val="000000"/>
                <w:sz w:val="24"/>
                <w:szCs w:val="24"/>
              </w:rPr>
              <w:t>1</w:t>
            </w:r>
            <w:r w:rsidRPr="001723D0">
              <w:rPr>
                <w:rFonts w:ascii="Arial" w:hAnsi="Arial" w:cs="Arial"/>
                <w:color w:val="000000"/>
                <w:sz w:val="24"/>
                <w:szCs w:val="24"/>
              </w:rPr>
              <w:t>.</w:t>
            </w:r>
            <w:r>
              <w:rPr>
                <w:rFonts w:ascii="Arial" w:hAnsi="Arial" w:cs="Arial"/>
                <w:color w:val="000000"/>
                <w:sz w:val="24"/>
                <w:szCs w:val="24"/>
              </w:rPr>
              <w:t>07</w:t>
            </w:r>
            <w:r w:rsidRPr="001723D0">
              <w:rPr>
                <w:rFonts w:ascii="Arial" w:hAnsi="Arial" w:cs="Arial"/>
                <w:color w:val="000000"/>
                <w:sz w:val="24"/>
                <w:szCs w:val="24"/>
              </w:rPr>
              <w:t>, 1.</w:t>
            </w:r>
            <w:r>
              <w:rPr>
                <w:rFonts w:ascii="Arial" w:hAnsi="Arial" w:cs="Arial"/>
                <w:color w:val="000000"/>
                <w:sz w:val="24"/>
                <w:szCs w:val="24"/>
              </w:rPr>
              <w:t>53</w:t>
            </w:r>
          </w:p>
        </w:tc>
      </w:tr>
      <w:tr w:rsidR="00576894" w:rsidRPr="008B025A" w14:paraId="754A2AC6"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7152A0BE" w14:textId="77777777" w:rsidR="00576894" w:rsidRPr="001723D0" w:rsidRDefault="00576894" w:rsidP="00576894">
            <w:pPr>
              <w:spacing w:after="0" w:line="240" w:lineRule="auto"/>
              <w:rPr>
                <w:rFonts w:ascii="Arial" w:hAnsi="Arial" w:cs="Arial"/>
                <w:i/>
                <w:color w:val="000000"/>
                <w:sz w:val="24"/>
                <w:szCs w:val="24"/>
              </w:rPr>
            </w:pPr>
            <w:r w:rsidRPr="001723D0">
              <w:rPr>
                <w:rFonts w:ascii="Arial" w:hAnsi="Arial" w:cs="Arial"/>
                <w:i/>
                <w:color w:val="000000"/>
                <w:sz w:val="24"/>
                <w:szCs w:val="24"/>
              </w:rPr>
              <w:t>Infection Source (vs. Respiratory)</w:t>
            </w:r>
          </w:p>
        </w:tc>
        <w:tc>
          <w:tcPr>
            <w:tcW w:w="1950" w:type="dxa"/>
            <w:tcBorders>
              <w:top w:val="nil"/>
              <w:left w:val="nil"/>
              <w:bottom w:val="nil"/>
              <w:right w:val="nil"/>
            </w:tcBorders>
            <w:shd w:val="clear" w:color="auto" w:fill="auto"/>
            <w:noWrap/>
            <w:vAlign w:val="bottom"/>
          </w:tcPr>
          <w:p w14:paraId="09ED7E41" w14:textId="77777777" w:rsidR="00576894" w:rsidRPr="001723D0" w:rsidRDefault="00576894" w:rsidP="00576894">
            <w:pPr>
              <w:spacing w:after="0" w:line="240" w:lineRule="auto"/>
              <w:jc w:val="center"/>
              <w:rPr>
                <w:rFonts w:ascii="Arial" w:hAnsi="Arial" w:cs="Arial"/>
                <w:color w:val="000000"/>
                <w:sz w:val="24"/>
                <w:szCs w:val="24"/>
              </w:rPr>
            </w:pPr>
          </w:p>
        </w:tc>
        <w:tc>
          <w:tcPr>
            <w:tcW w:w="1585" w:type="dxa"/>
            <w:tcBorders>
              <w:top w:val="nil"/>
              <w:left w:val="nil"/>
              <w:bottom w:val="nil"/>
              <w:right w:val="nil"/>
            </w:tcBorders>
            <w:shd w:val="clear" w:color="auto" w:fill="auto"/>
            <w:noWrap/>
            <w:vAlign w:val="bottom"/>
          </w:tcPr>
          <w:p w14:paraId="7711465F" w14:textId="77777777" w:rsidR="00576894" w:rsidRPr="001723D0" w:rsidRDefault="00576894" w:rsidP="00576894">
            <w:pPr>
              <w:spacing w:after="0" w:line="240" w:lineRule="auto"/>
              <w:jc w:val="center"/>
              <w:rPr>
                <w:rFonts w:ascii="Arial" w:hAnsi="Arial" w:cs="Arial"/>
                <w:color w:val="000000"/>
                <w:sz w:val="24"/>
                <w:szCs w:val="24"/>
              </w:rPr>
            </w:pPr>
          </w:p>
        </w:tc>
        <w:tc>
          <w:tcPr>
            <w:tcW w:w="1697" w:type="dxa"/>
            <w:tcBorders>
              <w:top w:val="nil"/>
              <w:left w:val="nil"/>
              <w:bottom w:val="nil"/>
              <w:right w:val="single" w:sz="4" w:space="0" w:color="auto"/>
            </w:tcBorders>
            <w:shd w:val="clear" w:color="auto" w:fill="auto"/>
            <w:noWrap/>
            <w:vAlign w:val="bottom"/>
          </w:tcPr>
          <w:p w14:paraId="6CC5A4A4" w14:textId="77777777" w:rsidR="00576894" w:rsidRPr="001723D0" w:rsidRDefault="00576894" w:rsidP="00576894">
            <w:pPr>
              <w:spacing w:after="0" w:line="240" w:lineRule="auto"/>
              <w:jc w:val="center"/>
              <w:rPr>
                <w:rFonts w:ascii="Arial" w:hAnsi="Arial" w:cs="Arial"/>
                <w:color w:val="000000"/>
                <w:sz w:val="24"/>
                <w:szCs w:val="24"/>
              </w:rPr>
            </w:pPr>
          </w:p>
        </w:tc>
      </w:tr>
      <w:tr w:rsidR="00576894" w:rsidRPr="008B025A" w14:paraId="141704BC"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3957F03B"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Urinary</w:t>
            </w:r>
          </w:p>
        </w:tc>
        <w:tc>
          <w:tcPr>
            <w:tcW w:w="1950" w:type="dxa"/>
            <w:tcBorders>
              <w:top w:val="nil"/>
              <w:left w:val="nil"/>
              <w:bottom w:val="nil"/>
              <w:right w:val="nil"/>
            </w:tcBorders>
            <w:shd w:val="clear" w:color="auto" w:fill="auto"/>
            <w:noWrap/>
            <w:vAlign w:val="bottom"/>
          </w:tcPr>
          <w:p w14:paraId="7DA7DC79" w14:textId="4D896556" w:rsidR="00576894" w:rsidRPr="001723D0" w:rsidRDefault="00366E88" w:rsidP="00576894">
            <w:pPr>
              <w:spacing w:after="0" w:line="240" w:lineRule="auto"/>
              <w:jc w:val="center"/>
              <w:rPr>
                <w:rFonts w:ascii="Arial" w:hAnsi="Arial" w:cs="Arial"/>
                <w:color w:val="000000"/>
                <w:sz w:val="24"/>
                <w:szCs w:val="24"/>
              </w:rPr>
            </w:pPr>
            <w:r>
              <w:rPr>
                <w:rFonts w:ascii="Arial" w:hAnsi="Arial" w:cs="Arial"/>
                <w:color w:val="000000"/>
                <w:sz w:val="24"/>
                <w:szCs w:val="24"/>
              </w:rPr>
              <w:t>-</w:t>
            </w:r>
            <w:r w:rsidR="00576894">
              <w:rPr>
                <w:rFonts w:ascii="Arial" w:hAnsi="Arial" w:cs="Arial"/>
                <w:color w:val="000000"/>
                <w:sz w:val="24"/>
                <w:szCs w:val="24"/>
              </w:rPr>
              <w:t>0.0</w:t>
            </w:r>
            <w:r>
              <w:rPr>
                <w:rFonts w:ascii="Arial" w:hAnsi="Arial" w:cs="Arial"/>
                <w:color w:val="000000"/>
                <w:sz w:val="24"/>
                <w:szCs w:val="24"/>
              </w:rPr>
              <w:t>52</w:t>
            </w:r>
          </w:p>
        </w:tc>
        <w:tc>
          <w:tcPr>
            <w:tcW w:w="1585" w:type="dxa"/>
            <w:tcBorders>
              <w:top w:val="nil"/>
              <w:left w:val="nil"/>
              <w:bottom w:val="nil"/>
              <w:right w:val="nil"/>
            </w:tcBorders>
            <w:shd w:val="clear" w:color="auto" w:fill="auto"/>
            <w:noWrap/>
            <w:vAlign w:val="bottom"/>
          </w:tcPr>
          <w:p w14:paraId="2BC21461" w14:textId="39F4E5A0"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576894">
              <w:rPr>
                <w:rFonts w:ascii="Arial" w:hAnsi="Arial" w:cs="Arial"/>
                <w:color w:val="000000"/>
                <w:sz w:val="24"/>
                <w:szCs w:val="24"/>
              </w:rPr>
              <w:t>.</w:t>
            </w:r>
            <w:r>
              <w:rPr>
                <w:rFonts w:ascii="Arial" w:hAnsi="Arial" w:cs="Arial"/>
                <w:color w:val="000000"/>
                <w:sz w:val="24"/>
                <w:szCs w:val="24"/>
              </w:rPr>
              <w:t>9</w:t>
            </w:r>
            <w:r w:rsidR="00576894">
              <w:rPr>
                <w:rFonts w:ascii="Arial" w:hAnsi="Arial" w:cs="Arial"/>
                <w:color w:val="000000"/>
                <w:sz w:val="24"/>
                <w:szCs w:val="24"/>
              </w:rPr>
              <w:t>5</w:t>
            </w:r>
          </w:p>
        </w:tc>
        <w:tc>
          <w:tcPr>
            <w:tcW w:w="1697" w:type="dxa"/>
            <w:tcBorders>
              <w:top w:val="nil"/>
              <w:left w:val="nil"/>
              <w:bottom w:val="nil"/>
              <w:right w:val="single" w:sz="4" w:space="0" w:color="auto"/>
            </w:tcBorders>
            <w:shd w:val="clear" w:color="auto" w:fill="auto"/>
            <w:noWrap/>
            <w:vAlign w:val="bottom"/>
          </w:tcPr>
          <w:p w14:paraId="4F94A1FB" w14:textId="4CCEC231"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81</w:t>
            </w:r>
            <w:r>
              <w:rPr>
                <w:rFonts w:ascii="Arial" w:hAnsi="Arial" w:cs="Arial"/>
                <w:color w:val="000000"/>
                <w:sz w:val="24"/>
                <w:szCs w:val="24"/>
              </w:rPr>
              <w:t>, 1.</w:t>
            </w:r>
            <w:r w:rsidR="00366E88">
              <w:rPr>
                <w:rFonts w:ascii="Arial" w:hAnsi="Arial" w:cs="Arial"/>
                <w:color w:val="000000"/>
                <w:sz w:val="24"/>
                <w:szCs w:val="24"/>
              </w:rPr>
              <w:t>12</w:t>
            </w:r>
          </w:p>
        </w:tc>
      </w:tr>
      <w:tr w:rsidR="00576894" w:rsidRPr="008B025A" w14:paraId="44F88ED8"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521D5F03"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Skin/Soft-Tissue</w:t>
            </w:r>
          </w:p>
        </w:tc>
        <w:tc>
          <w:tcPr>
            <w:tcW w:w="1950" w:type="dxa"/>
            <w:tcBorders>
              <w:top w:val="nil"/>
              <w:left w:val="nil"/>
              <w:bottom w:val="nil"/>
              <w:right w:val="nil"/>
            </w:tcBorders>
            <w:shd w:val="clear" w:color="auto" w:fill="auto"/>
            <w:noWrap/>
            <w:vAlign w:val="bottom"/>
          </w:tcPr>
          <w:p w14:paraId="4BD2D134" w14:textId="610AB3AC"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w:t>
            </w:r>
            <w:r w:rsidR="00576894">
              <w:rPr>
                <w:rFonts w:ascii="Arial" w:hAnsi="Arial" w:cs="Arial"/>
                <w:color w:val="000000"/>
                <w:sz w:val="24"/>
                <w:szCs w:val="24"/>
              </w:rPr>
              <w:t>0.</w:t>
            </w:r>
            <w:r>
              <w:rPr>
                <w:rFonts w:ascii="Arial" w:hAnsi="Arial" w:cs="Arial"/>
                <w:color w:val="000000"/>
                <w:sz w:val="24"/>
                <w:szCs w:val="24"/>
              </w:rPr>
              <w:t>068</w:t>
            </w:r>
          </w:p>
        </w:tc>
        <w:tc>
          <w:tcPr>
            <w:tcW w:w="1585" w:type="dxa"/>
            <w:tcBorders>
              <w:top w:val="nil"/>
              <w:left w:val="nil"/>
              <w:bottom w:val="nil"/>
              <w:right w:val="nil"/>
            </w:tcBorders>
            <w:shd w:val="clear" w:color="auto" w:fill="auto"/>
            <w:noWrap/>
            <w:vAlign w:val="bottom"/>
          </w:tcPr>
          <w:p w14:paraId="71B08CEE" w14:textId="7FE0C403" w:rsidR="00576894" w:rsidRPr="001723D0" w:rsidRDefault="00366E88"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576894">
              <w:rPr>
                <w:rFonts w:ascii="Arial" w:hAnsi="Arial" w:cs="Arial"/>
                <w:color w:val="000000"/>
                <w:sz w:val="24"/>
                <w:szCs w:val="24"/>
              </w:rPr>
              <w:t>.</w:t>
            </w:r>
            <w:r>
              <w:rPr>
                <w:rFonts w:ascii="Arial" w:hAnsi="Arial" w:cs="Arial"/>
                <w:color w:val="000000"/>
                <w:sz w:val="24"/>
                <w:szCs w:val="24"/>
              </w:rPr>
              <w:t>94</w:t>
            </w:r>
          </w:p>
        </w:tc>
        <w:tc>
          <w:tcPr>
            <w:tcW w:w="1697" w:type="dxa"/>
            <w:tcBorders>
              <w:top w:val="nil"/>
              <w:left w:val="nil"/>
              <w:bottom w:val="nil"/>
              <w:right w:val="single" w:sz="4" w:space="0" w:color="auto"/>
            </w:tcBorders>
            <w:shd w:val="clear" w:color="auto" w:fill="auto"/>
            <w:noWrap/>
            <w:vAlign w:val="bottom"/>
          </w:tcPr>
          <w:p w14:paraId="1D1B8CE2" w14:textId="33C8AA7D"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72</w:t>
            </w:r>
            <w:r>
              <w:rPr>
                <w:rFonts w:ascii="Arial" w:hAnsi="Arial" w:cs="Arial"/>
                <w:color w:val="000000"/>
                <w:sz w:val="24"/>
                <w:szCs w:val="24"/>
              </w:rPr>
              <w:t>, 1.</w:t>
            </w:r>
            <w:r w:rsidR="00366E88">
              <w:rPr>
                <w:rFonts w:ascii="Arial" w:hAnsi="Arial" w:cs="Arial"/>
                <w:color w:val="000000"/>
                <w:sz w:val="24"/>
                <w:szCs w:val="24"/>
              </w:rPr>
              <w:t>21</w:t>
            </w:r>
          </w:p>
        </w:tc>
      </w:tr>
      <w:tr w:rsidR="00576894" w:rsidRPr="008B025A" w14:paraId="47C6217B"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0E8CDF05"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Gastrointestinal</w:t>
            </w:r>
          </w:p>
        </w:tc>
        <w:tc>
          <w:tcPr>
            <w:tcW w:w="1950" w:type="dxa"/>
            <w:tcBorders>
              <w:top w:val="nil"/>
              <w:left w:val="nil"/>
              <w:bottom w:val="nil"/>
              <w:right w:val="nil"/>
            </w:tcBorders>
            <w:shd w:val="clear" w:color="auto" w:fill="auto"/>
            <w:noWrap/>
            <w:vAlign w:val="bottom"/>
          </w:tcPr>
          <w:p w14:paraId="4D548188" w14:textId="5BDBBC62"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766</w:t>
            </w:r>
          </w:p>
        </w:tc>
        <w:tc>
          <w:tcPr>
            <w:tcW w:w="1585" w:type="dxa"/>
            <w:tcBorders>
              <w:top w:val="nil"/>
              <w:left w:val="nil"/>
              <w:bottom w:val="nil"/>
              <w:right w:val="nil"/>
            </w:tcBorders>
            <w:shd w:val="clear" w:color="auto" w:fill="auto"/>
            <w:noWrap/>
            <w:vAlign w:val="bottom"/>
          </w:tcPr>
          <w:p w14:paraId="3DFA1985" w14:textId="27BBA23E"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47</w:t>
            </w:r>
          </w:p>
        </w:tc>
        <w:tc>
          <w:tcPr>
            <w:tcW w:w="1697" w:type="dxa"/>
            <w:tcBorders>
              <w:top w:val="nil"/>
              <w:left w:val="nil"/>
              <w:bottom w:val="nil"/>
              <w:right w:val="single" w:sz="4" w:space="0" w:color="auto"/>
            </w:tcBorders>
            <w:shd w:val="clear" w:color="auto" w:fill="auto"/>
            <w:noWrap/>
            <w:vAlign w:val="bottom"/>
          </w:tcPr>
          <w:p w14:paraId="3EB1D85C" w14:textId="56337EFE"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38</w:t>
            </w:r>
            <w:r>
              <w:rPr>
                <w:rFonts w:ascii="Arial" w:hAnsi="Arial" w:cs="Arial"/>
                <w:color w:val="000000"/>
                <w:sz w:val="24"/>
                <w:szCs w:val="24"/>
              </w:rPr>
              <w:t>, 0.</w:t>
            </w:r>
            <w:r w:rsidR="00366E88">
              <w:rPr>
                <w:rFonts w:ascii="Arial" w:hAnsi="Arial" w:cs="Arial"/>
                <w:color w:val="000000"/>
                <w:sz w:val="24"/>
                <w:szCs w:val="24"/>
              </w:rPr>
              <w:t>57</w:t>
            </w:r>
          </w:p>
        </w:tc>
      </w:tr>
      <w:tr w:rsidR="00576894" w:rsidRPr="008B025A" w14:paraId="4F7A1744" w14:textId="77777777" w:rsidTr="00576894">
        <w:trPr>
          <w:trHeight w:val="304"/>
        </w:trPr>
        <w:tc>
          <w:tcPr>
            <w:tcW w:w="4608" w:type="dxa"/>
            <w:tcBorders>
              <w:top w:val="nil"/>
              <w:left w:val="single" w:sz="4" w:space="0" w:color="auto"/>
              <w:bottom w:val="nil"/>
              <w:right w:val="nil"/>
            </w:tcBorders>
            <w:shd w:val="clear" w:color="auto" w:fill="auto"/>
            <w:noWrap/>
            <w:vAlign w:val="bottom"/>
          </w:tcPr>
          <w:p w14:paraId="16FF4048" w14:textId="77777777" w:rsidR="00576894" w:rsidRPr="001723D0" w:rsidRDefault="00576894" w:rsidP="00576894">
            <w:pPr>
              <w:spacing w:after="0" w:line="240" w:lineRule="auto"/>
              <w:ind w:firstLine="270"/>
              <w:rPr>
                <w:rFonts w:ascii="Arial" w:hAnsi="Arial" w:cs="Arial"/>
                <w:color w:val="000000"/>
                <w:sz w:val="24"/>
                <w:szCs w:val="24"/>
              </w:rPr>
            </w:pPr>
            <w:r>
              <w:rPr>
                <w:rFonts w:ascii="Arial" w:hAnsi="Arial" w:cs="Arial"/>
                <w:color w:val="000000"/>
                <w:sz w:val="24"/>
                <w:szCs w:val="24"/>
              </w:rPr>
              <w:t>Other/Unknown</w:t>
            </w:r>
          </w:p>
        </w:tc>
        <w:tc>
          <w:tcPr>
            <w:tcW w:w="1950" w:type="dxa"/>
            <w:tcBorders>
              <w:top w:val="nil"/>
              <w:left w:val="nil"/>
              <w:bottom w:val="nil"/>
              <w:right w:val="nil"/>
            </w:tcBorders>
            <w:shd w:val="clear" w:color="auto" w:fill="auto"/>
            <w:noWrap/>
            <w:vAlign w:val="bottom"/>
          </w:tcPr>
          <w:p w14:paraId="5951C067" w14:textId="7123BA69"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w:t>
            </w:r>
            <w:r w:rsidR="00366E88">
              <w:rPr>
                <w:rFonts w:ascii="Arial" w:hAnsi="Arial" w:cs="Arial"/>
                <w:color w:val="000000"/>
                <w:sz w:val="24"/>
                <w:szCs w:val="24"/>
              </w:rPr>
              <w:t>410</w:t>
            </w:r>
          </w:p>
        </w:tc>
        <w:tc>
          <w:tcPr>
            <w:tcW w:w="1585" w:type="dxa"/>
            <w:tcBorders>
              <w:top w:val="nil"/>
              <w:left w:val="nil"/>
              <w:bottom w:val="nil"/>
              <w:right w:val="nil"/>
            </w:tcBorders>
            <w:shd w:val="clear" w:color="auto" w:fill="auto"/>
            <w:noWrap/>
            <w:vAlign w:val="bottom"/>
          </w:tcPr>
          <w:p w14:paraId="304F1CBD" w14:textId="3AEB72F3"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0.6</w:t>
            </w:r>
            <w:r w:rsidR="00366E88">
              <w:rPr>
                <w:rFonts w:ascii="Arial" w:hAnsi="Arial" w:cs="Arial"/>
                <w:color w:val="000000"/>
                <w:sz w:val="24"/>
                <w:szCs w:val="24"/>
              </w:rPr>
              <w:t>6</w:t>
            </w:r>
          </w:p>
        </w:tc>
        <w:tc>
          <w:tcPr>
            <w:tcW w:w="1697" w:type="dxa"/>
            <w:tcBorders>
              <w:top w:val="nil"/>
              <w:left w:val="nil"/>
              <w:bottom w:val="nil"/>
              <w:right w:val="single" w:sz="4" w:space="0" w:color="auto"/>
            </w:tcBorders>
            <w:shd w:val="clear" w:color="auto" w:fill="auto"/>
            <w:noWrap/>
            <w:vAlign w:val="bottom"/>
          </w:tcPr>
          <w:p w14:paraId="660E5906" w14:textId="3FAEDAFC" w:rsidR="00576894" w:rsidRPr="001723D0" w:rsidRDefault="00576894" w:rsidP="00366E88">
            <w:pPr>
              <w:spacing w:after="0" w:line="240" w:lineRule="auto"/>
              <w:jc w:val="center"/>
              <w:rPr>
                <w:rFonts w:ascii="Arial" w:hAnsi="Arial" w:cs="Arial"/>
                <w:color w:val="000000"/>
                <w:sz w:val="24"/>
                <w:szCs w:val="24"/>
              </w:rPr>
            </w:pPr>
            <w:r>
              <w:rPr>
                <w:rFonts w:ascii="Arial" w:hAnsi="Arial" w:cs="Arial"/>
                <w:color w:val="000000"/>
                <w:sz w:val="24"/>
                <w:szCs w:val="24"/>
              </w:rPr>
              <w:t>0.5</w:t>
            </w:r>
            <w:r w:rsidR="00366E88">
              <w:rPr>
                <w:rFonts w:ascii="Arial" w:hAnsi="Arial" w:cs="Arial"/>
                <w:color w:val="000000"/>
                <w:sz w:val="24"/>
                <w:szCs w:val="24"/>
              </w:rPr>
              <w:t>6</w:t>
            </w:r>
            <w:r>
              <w:rPr>
                <w:rFonts w:ascii="Arial" w:hAnsi="Arial" w:cs="Arial"/>
                <w:color w:val="000000"/>
                <w:sz w:val="24"/>
                <w:szCs w:val="24"/>
              </w:rPr>
              <w:t>, 0.78</w:t>
            </w:r>
          </w:p>
        </w:tc>
      </w:tr>
      <w:tr w:rsidR="00576894" w:rsidRPr="008B025A" w14:paraId="2332EDD4"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9DB6E9C"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 xml:space="preserve">Temperature </w:t>
            </w:r>
          </w:p>
        </w:tc>
        <w:tc>
          <w:tcPr>
            <w:tcW w:w="1950" w:type="dxa"/>
            <w:tcBorders>
              <w:top w:val="nil"/>
              <w:left w:val="nil"/>
              <w:bottom w:val="nil"/>
              <w:right w:val="nil"/>
            </w:tcBorders>
            <w:shd w:val="clear" w:color="auto" w:fill="auto"/>
            <w:noWrap/>
            <w:vAlign w:val="bottom"/>
            <w:hideMark/>
          </w:tcPr>
          <w:p w14:paraId="122F2786" w14:textId="488EE018"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-0.2</w:t>
            </w:r>
            <w:r w:rsidR="00366E88">
              <w:rPr>
                <w:rFonts w:ascii="Arial" w:hAnsi="Arial" w:cs="Arial"/>
                <w:color w:val="000000"/>
                <w:sz w:val="24"/>
                <w:szCs w:val="24"/>
              </w:rPr>
              <w:t>2</w:t>
            </w:r>
            <w:r w:rsidRPr="001723D0">
              <w:rPr>
                <w:rFonts w:ascii="Arial" w:hAnsi="Arial" w:cs="Arial"/>
                <w:color w:val="000000"/>
                <w:sz w:val="24"/>
                <w:szCs w:val="24"/>
              </w:rPr>
              <w:t>2</w:t>
            </w:r>
          </w:p>
        </w:tc>
        <w:tc>
          <w:tcPr>
            <w:tcW w:w="1585" w:type="dxa"/>
            <w:tcBorders>
              <w:top w:val="nil"/>
              <w:left w:val="nil"/>
              <w:bottom w:val="nil"/>
              <w:right w:val="nil"/>
            </w:tcBorders>
            <w:shd w:val="clear" w:color="auto" w:fill="auto"/>
            <w:noWrap/>
            <w:vAlign w:val="bottom"/>
            <w:hideMark/>
          </w:tcPr>
          <w:p w14:paraId="360BF2C8" w14:textId="766A148A"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366E88">
              <w:rPr>
                <w:rFonts w:ascii="Arial" w:hAnsi="Arial" w:cs="Arial"/>
                <w:color w:val="000000"/>
                <w:sz w:val="24"/>
                <w:szCs w:val="24"/>
              </w:rPr>
              <w:t>80</w:t>
            </w:r>
          </w:p>
        </w:tc>
        <w:tc>
          <w:tcPr>
            <w:tcW w:w="1697" w:type="dxa"/>
            <w:tcBorders>
              <w:top w:val="nil"/>
              <w:left w:val="nil"/>
              <w:bottom w:val="nil"/>
              <w:right w:val="single" w:sz="4" w:space="0" w:color="auto"/>
            </w:tcBorders>
            <w:shd w:val="clear" w:color="auto" w:fill="auto"/>
            <w:noWrap/>
            <w:vAlign w:val="bottom"/>
            <w:hideMark/>
          </w:tcPr>
          <w:p w14:paraId="036DB7DB" w14:textId="50F98124"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0.7</w:t>
            </w:r>
            <w:r w:rsidR="00366E88">
              <w:rPr>
                <w:rFonts w:ascii="Arial" w:hAnsi="Arial" w:cs="Arial"/>
                <w:color w:val="000000"/>
                <w:sz w:val="24"/>
                <w:szCs w:val="24"/>
              </w:rPr>
              <w:t>3</w:t>
            </w:r>
            <w:r w:rsidRPr="001723D0">
              <w:rPr>
                <w:rFonts w:ascii="Arial" w:hAnsi="Arial" w:cs="Arial"/>
                <w:color w:val="000000"/>
                <w:sz w:val="24"/>
                <w:szCs w:val="24"/>
              </w:rPr>
              <w:t>, 0.8</w:t>
            </w:r>
            <w:r w:rsidR="00366E88">
              <w:rPr>
                <w:rFonts w:ascii="Arial" w:hAnsi="Arial" w:cs="Arial"/>
                <w:color w:val="000000"/>
                <w:sz w:val="24"/>
                <w:szCs w:val="24"/>
              </w:rPr>
              <w:t>8</w:t>
            </w:r>
          </w:p>
        </w:tc>
      </w:tr>
      <w:tr w:rsidR="00576894" w:rsidRPr="008B025A" w14:paraId="5A32EADA"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73DAAA5D"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Hospital Acquired Infection</w:t>
            </w:r>
          </w:p>
        </w:tc>
        <w:tc>
          <w:tcPr>
            <w:tcW w:w="1950" w:type="dxa"/>
            <w:tcBorders>
              <w:top w:val="nil"/>
              <w:left w:val="nil"/>
              <w:bottom w:val="nil"/>
              <w:right w:val="nil"/>
            </w:tcBorders>
            <w:shd w:val="clear" w:color="auto" w:fill="auto"/>
            <w:noWrap/>
            <w:vAlign w:val="bottom"/>
            <w:hideMark/>
          </w:tcPr>
          <w:p w14:paraId="26C6B583"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-0.905</w:t>
            </w:r>
          </w:p>
        </w:tc>
        <w:tc>
          <w:tcPr>
            <w:tcW w:w="1585" w:type="dxa"/>
            <w:tcBorders>
              <w:top w:val="nil"/>
              <w:left w:val="nil"/>
              <w:bottom w:val="nil"/>
              <w:right w:val="nil"/>
            </w:tcBorders>
            <w:shd w:val="clear" w:color="auto" w:fill="auto"/>
            <w:noWrap/>
            <w:vAlign w:val="bottom"/>
            <w:hideMark/>
          </w:tcPr>
          <w:p w14:paraId="302E22A8"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0.41</w:t>
            </w:r>
          </w:p>
        </w:tc>
        <w:tc>
          <w:tcPr>
            <w:tcW w:w="1697" w:type="dxa"/>
            <w:tcBorders>
              <w:top w:val="nil"/>
              <w:left w:val="nil"/>
              <w:bottom w:val="nil"/>
              <w:right w:val="single" w:sz="4" w:space="0" w:color="auto"/>
            </w:tcBorders>
            <w:shd w:val="clear" w:color="auto" w:fill="auto"/>
            <w:noWrap/>
            <w:vAlign w:val="bottom"/>
            <w:hideMark/>
          </w:tcPr>
          <w:p w14:paraId="74F4461E"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0.35, 0.47</w:t>
            </w:r>
          </w:p>
        </w:tc>
      </w:tr>
      <w:tr w:rsidR="00576894" w:rsidRPr="008B025A" w14:paraId="10F18E41"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6E689412"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Serum Lactate Level (</w:t>
            </w:r>
            <w:r>
              <w:rPr>
                <w:rFonts w:ascii="Arial" w:hAnsi="Arial" w:cs="Arial"/>
                <w:color w:val="000000"/>
                <w:sz w:val="24"/>
                <w:szCs w:val="24"/>
              </w:rPr>
              <w:t xml:space="preserve">per </w:t>
            </w:r>
            <w:proofErr w:type="spellStart"/>
            <w:r w:rsidRPr="001723D0">
              <w:rPr>
                <w:rFonts w:ascii="Arial" w:hAnsi="Arial" w:cs="Arial"/>
                <w:color w:val="000000"/>
                <w:sz w:val="24"/>
                <w:szCs w:val="24"/>
              </w:rPr>
              <w:t>mmol</w:t>
            </w:r>
            <w:proofErr w:type="spellEnd"/>
            <w:r w:rsidRPr="001723D0">
              <w:rPr>
                <w:rFonts w:ascii="Arial" w:hAnsi="Arial" w:cs="Arial"/>
                <w:color w:val="000000"/>
                <w:sz w:val="24"/>
                <w:szCs w:val="24"/>
              </w:rPr>
              <w:t>/L)</w:t>
            </w:r>
          </w:p>
        </w:tc>
        <w:tc>
          <w:tcPr>
            <w:tcW w:w="1950" w:type="dxa"/>
            <w:tcBorders>
              <w:top w:val="nil"/>
              <w:left w:val="nil"/>
              <w:bottom w:val="nil"/>
              <w:right w:val="nil"/>
            </w:tcBorders>
            <w:shd w:val="clear" w:color="auto" w:fill="auto"/>
            <w:noWrap/>
            <w:vAlign w:val="bottom"/>
            <w:hideMark/>
          </w:tcPr>
          <w:p w14:paraId="3D055F7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0.0</w:t>
            </w:r>
            <w:r>
              <w:rPr>
                <w:rFonts w:ascii="Arial" w:hAnsi="Arial" w:cs="Arial"/>
                <w:color w:val="000000"/>
                <w:sz w:val="24"/>
                <w:szCs w:val="24"/>
              </w:rPr>
              <w:t>82</w:t>
            </w:r>
          </w:p>
        </w:tc>
        <w:tc>
          <w:tcPr>
            <w:tcW w:w="1585" w:type="dxa"/>
            <w:tcBorders>
              <w:top w:val="nil"/>
              <w:left w:val="nil"/>
              <w:bottom w:val="nil"/>
              <w:right w:val="nil"/>
            </w:tcBorders>
            <w:shd w:val="clear" w:color="auto" w:fill="auto"/>
            <w:noWrap/>
            <w:vAlign w:val="bottom"/>
            <w:hideMark/>
          </w:tcPr>
          <w:p w14:paraId="122B30EB"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1.0</w:t>
            </w:r>
            <w:r>
              <w:rPr>
                <w:rFonts w:ascii="Arial" w:hAnsi="Arial" w:cs="Arial"/>
                <w:color w:val="000000"/>
                <w:sz w:val="24"/>
                <w:szCs w:val="24"/>
              </w:rPr>
              <w:t>9</w:t>
            </w:r>
          </w:p>
        </w:tc>
        <w:tc>
          <w:tcPr>
            <w:tcW w:w="1697" w:type="dxa"/>
            <w:tcBorders>
              <w:top w:val="nil"/>
              <w:left w:val="nil"/>
              <w:bottom w:val="nil"/>
              <w:right w:val="single" w:sz="4" w:space="0" w:color="auto"/>
            </w:tcBorders>
            <w:shd w:val="clear" w:color="auto" w:fill="auto"/>
            <w:noWrap/>
            <w:vAlign w:val="bottom"/>
            <w:hideMark/>
          </w:tcPr>
          <w:p w14:paraId="1E006A0F"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Pr>
                <w:rFonts w:ascii="Arial" w:hAnsi="Arial" w:cs="Arial"/>
                <w:color w:val="000000"/>
                <w:sz w:val="24"/>
                <w:szCs w:val="24"/>
              </w:rPr>
              <w:t>06</w:t>
            </w:r>
            <w:r w:rsidRPr="001723D0">
              <w:rPr>
                <w:rFonts w:ascii="Arial" w:hAnsi="Arial" w:cs="Arial"/>
                <w:color w:val="000000"/>
                <w:sz w:val="24"/>
                <w:szCs w:val="24"/>
              </w:rPr>
              <w:t>, 1.</w:t>
            </w:r>
            <w:r>
              <w:rPr>
                <w:rFonts w:ascii="Arial" w:hAnsi="Arial" w:cs="Arial"/>
                <w:color w:val="000000"/>
                <w:sz w:val="24"/>
                <w:szCs w:val="24"/>
              </w:rPr>
              <w:t>12</w:t>
            </w:r>
          </w:p>
        </w:tc>
      </w:tr>
      <w:tr w:rsidR="00576894" w:rsidRPr="008B025A" w14:paraId="1BDD96CB"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DEB0E0F"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Initial Hypotension</w:t>
            </w:r>
          </w:p>
        </w:tc>
        <w:tc>
          <w:tcPr>
            <w:tcW w:w="1950" w:type="dxa"/>
            <w:tcBorders>
              <w:top w:val="nil"/>
              <w:left w:val="nil"/>
              <w:bottom w:val="nil"/>
              <w:right w:val="nil"/>
            </w:tcBorders>
            <w:shd w:val="clear" w:color="auto" w:fill="auto"/>
            <w:noWrap/>
            <w:vAlign w:val="bottom"/>
            <w:hideMark/>
          </w:tcPr>
          <w:p w14:paraId="5D872300"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443</w:t>
            </w:r>
          </w:p>
        </w:tc>
        <w:tc>
          <w:tcPr>
            <w:tcW w:w="1585" w:type="dxa"/>
            <w:tcBorders>
              <w:top w:val="nil"/>
              <w:left w:val="nil"/>
              <w:bottom w:val="nil"/>
              <w:right w:val="nil"/>
            </w:tcBorders>
            <w:shd w:val="clear" w:color="auto" w:fill="auto"/>
            <w:noWrap/>
            <w:vAlign w:val="bottom"/>
            <w:hideMark/>
          </w:tcPr>
          <w:p w14:paraId="245690C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64</w:t>
            </w:r>
          </w:p>
        </w:tc>
        <w:tc>
          <w:tcPr>
            <w:tcW w:w="1697" w:type="dxa"/>
            <w:tcBorders>
              <w:top w:val="nil"/>
              <w:left w:val="nil"/>
              <w:bottom w:val="nil"/>
              <w:right w:val="single" w:sz="4" w:space="0" w:color="auto"/>
            </w:tcBorders>
            <w:shd w:val="clear" w:color="auto" w:fill="auto"/>
            <w:noWrap/>
            <w:vAlign w:val="bottom"/>
            <w:hideMark/>
          </w:tcPr>
          <w:p w14:paraId="27FC79E9"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0.5</w:t>
            </w:r>
            <w:r>
              <w:rPr>
                <w:rFonts w:ascii="Arial" w:hAnsi="Arial" w:cs="Arial"/>
                <w:color w:val="000000"/>
                <w:sz w:val="24"/>
                <w:szCs w:val="24"/>
              </w:rPr>
              <w:t>7</w:t>
            </w:r>
            <w:r w:rsidRPr="001723D0">
              <w:rPr>
                <w:rFonts w:ascii="Arial" w:hAnsi="Arial" w:cs="Arial"/>
                <w:color w:val="000000"/>
                <w:sz w:val="24"/>
                <w:szCs w:val="24"/>
              </w:rPr>
              <w:t>, 0.</w:t>
            </w:r>
            <w:r>
              <w:rPr>
                <w:rFonts w:ascii="Arial" w:hAnsi="Arial" w:cs="Arial"/>
                <w:color w:val="000000"/>
                <w:sz w:val="24"/>
                <w:szCs w:val="24"/>
              </w:rPr>
              <w:t>73</w:t>
            </w:r>
          </w:p>
        </w:tc>
      </w:tr>
      <w:tr w:rsidR="00576894" w:rsidRPr="008B025A" w14:paraId="1B2CBB1F"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EEEB799"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Altered Gas Exchange</w:t>
            </w:r>
          </w:p>
        </w:tc>
        <w:tc>
          <w:tcPr>
            <w:tcW w:w="1950" w:type="dxa"/>
            <w:tcBorders>
              <w:top w:val="nil"/>
              <w:left w:val="nil"/>
              <w:bottom w:val="nil"/>
              <w:right w:val="nil"/>
            </w:tcBorders>
            <w:shd w:val="clear" w:color="auto" w:fill="auto"/>
            <w:noWrap/>
            <w:vAlign w:val="bottom"/>
            <w:hideMark/>
          </w:tcPr>
          <w:p w14:paraId="470637DB"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777</w:t>
            </w:r>
          </w:p>
        </w:tc>
        <w:tc>
          <w:tcPr>
            <w:tcW w:w="1585" w:type="dxa"/>
            <w:tcBorders>
              <w:top w:val="nil"/>
              <w:left w:val="nil"/>
              <w:bottom w:val="nil"/>
              <w:right w:val="nil"/>
            </w:tcBorders>
            <w:shd w:val="clear" w:color="auto" w:fill="auto"/>
            <w:noWrap/>
            <w:vAlign w:val="bottom"/>
            <w:hideMark/>
          </w:tcPr>
          <w:p w14:paraId="5499AD24"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Pr>
                <w:rFonts w:ascii="Arial" w:hAnsi="Arial" w:cs="Arial"/>
                <w:color w:val="000000"/>
                <w:sz w:val="24"/>
                <w:szCs w:val="24"/>
              </w:rPr>
              <w:t>46</w:t>
            </w:r>
          </w:p>
        </w:tc>
        <w:tc>
          <w:tcPr>
            <w:tcW w:w="1697" w:type="dxa"/>
            <w:tcBorders>
              <w:top w:val="nil"/>
              <w:left w:val="nil"/>
              <w:bottom w:val="nil"/>
              <w:right w:val="single" w:sz="4" w:space="0" w:color="auto"/>
            </w:tcBorders>
            <w:shd w:val="clear" w:color="auto" w:fill="auto"/>
            <w:noWrap/>
            <w:vAlign w:val="bottom"/>
            <w:hideMark/>
          </w:tcPr>
          <w:p w14:paraId="26941D17"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0.40</w:t>
            </w:r>
            <w:r w:rsidRPr="001723D0">
              <w:rPr>
                <w:rFonts w:ascii="Arial" w:hAnsi="Arial" w:cs="Arial"/>
                <w:color w:val="000000"/>
                <w:sz w:val="24"/>
                <w:szCs w:val="24"/>
              </w:rPr>
              <w:t xml:space="preserve"> 0.</w:t>
            </w:r>
            <w:r>
              <w:rPr>
                <w:rFonts w:ascii="Arial" w:hAnsi="Arial" w:cs="Arial"/>
                <w:color w:val="000000"/>
                <w:sz w:val="24"/>
                <w:szCs w:val="24"/>
              </w:rPr>
              <w:t>53</w:t>
            </w:r>
          </w:p>
        </w:tc>
      </w:tr>
      <w:tr w:rsidR="00576894" w:rsidRPr="008B025A" w14:paraId="216718EE"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1E135DD8"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Altered Mental Status</w:t>
            </w:r>
          </w:p>
        </w:tc>
        <w:tc>
          <w:tcPr>
            <w:tcW w:w="1950" w:type="dxa"/>
            <w:tcBorders>
              <w:top w:val="nil"/>
              <w:left w:val="nil"/>
              <w:bottom w:val="nil"/>
              <w:right w:val="nil"/>
            </w:tcBorders>
            <w:shd w:val="clear" w:color="auto" w:fill="auto"/>
            <w:noWrap/>
            <w:vAlign w:val="bottom"/>
            <w:hideMark/>
          </w:tcPr>
          <w:p w14:paraId="6803E92E"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0.1</w:t>
            </w:r>
            <w:r>
              <w:rPr>
                <w:rFonts w:ascii="Arial" w:hAnsi="Arial" w:cs="Arial"/>
                <w:color w:val="000000"/>
                <w:sz w:val="24"/>
                <w:szCs w:val="24"/>
              </w:rPr>
              <w:t>05</w:t>
            </w:r>
          </w:p>
        </w:tc>
        <w:tc>
          <w:tcPr>
            <w:tcW w:w="1585" w:type="dxa"/>
            <w:tcBorders>
              <w:top w:val="nil"/>
              <w:left w:val="nil"/>
              <w:bottom w:val="nil"/>
              <w:right w:val="nil"/>
            </w:tcBorders>
            <w:shd w:val="clear" w:color="auto" w:fill="auto"/>
            <w:noWrap/>
            <w:vAlign w:val="bottom"/>
            <w:hideMark/>
          </w:tcPr>
          <w:p w14:paraId="79156F03"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1.1</w:t>
            </w:r>
            <w:r>
              <w:rPr>
                <w:rFonts w:ascii="Arial" w:hAnsi="Arial" w:cs="Arial"/>
                <w:color w:val="000000"/>
                <w:sz w:val="24"/>
                <w:szCs w:val="24"/>
              </w:rPr>
              <w:t>1</w:t>
            </w:r>
          </w:p>
        </w:tc>
        <w:tc>
          <w:tcPr>
            <w:tcW w:w="1697" w:type="dxa"/>
            <w:tcBorders>
              <w:top w:val="nil"/>
              <w:left w:val="nil"/>
              <w:bottom w:val="nil"/>
              <w:right w:val="single" w:sz="4" w:space="0" w:color="auto"/>
            </w:tcBorders>
            <w:shd w:val="clear" w:color="auto" w:fill="auto"/>
            <w:noWrap/>
            <w:vAlign w:val="bottom"/>
            <w:hideMark/>
          </w:tcPr>
          <w:p w14:paraId="4650B61C" w14:textId="77777777" w:rsidR="00576894" w:rsidRPr="001723D0" w:rsidRDefault="00576894" w:rsidP="00576894">
            <w:pPr>
              <w:spacing w:after="0" w:line="240" w:lineRule="auto"/>
              <w:jc w:val="center"/>
              <w:rPr>
                <w:rFonts w:ascii="Arial" w:hAnsi="Arial" w:cs="Arial"/>
                <w:color w:val="000000"/>
                <w:sz w:val="24"/>
                <w:szCs w:val="24"/>
              </w:rPr>
            </w:pPr>
            <w:r>
              <w:rPr>
                <w:rFonts w:ascii="Arial" w:hAnsi="Arial" w:cs="Arial"/>
                <w:color w:val="000000"/>
                <w:sz w:val="24"/>
                <w:szCs w:val="24"/>
              </w:rPr>
              <w:t>0</w:t>
            </w:r>
            <w:r w:rsidRPr="001723D0">
              <w:rPr>
                <w:rFonts w:ascii="Arial" w:hAnsi="Arial" w:cs="Arial"/>
                <w:color w:val="000000"/>
                <w:sz w:val="24"/>
                <w:szCs w:val="24"/>
              </w:rPr>
              <w:t>.</w:t>
            </w:r>
            <w:r>
              <w:rPr>
                <w:rFonts w:ascii="Arial" w:hAnsi="Arial" w:cs="Arial"/>
                <w:color w:val="000000"/>
                <w:sz w:val="24"/>
                <w:szCs w:val="24"/>
              </w:rPr>
              <w:t>96</w:t>
            </w:r>
            <w:r w:rsidRPr="001723D0">
              <w:rPr>
                <w:rFonts w:ascii="Arial" w:hAnsi="Arial" w:cs="Arial"/>
                <w:color w:val="000000"/>
                <w:sz w:val="24"/>
                <w:szCs w:val="24"/>
              </w:rPr>
              <w:t>, 1.</w:t>
            </w:r>
            <w:r>
              <w:rPr>
                <w:rFonts w:ascii="Arial" w:hAnsi="Arial" w:cs="Arial"/>
                <w:color w:val="000000"/>
                <w:sz w:val="24"/>
                <w:szCs w:val="24"/>
              </w:rPr>
              <w:t>28</w:t>
            </w:r>
          </w:p>
        </w:tc>
      </w:tr>
      <w:tr w:rsidR="00576894" w:rsidRPr="008B025A" w14:paraId="62AE771D" w14:textId="77777777" w:rsidTr="00576894">
        <w:trPr>
          <w:trHeight w:val="304"/>
        </w:trPr>
        <w:tc>
          <w:tcPr>
            <w:tcW w:w="4608" w:type="dxa"/>
            <w:tcBorders>
              <w:top w:val="nil"/>
              <w:left w:val="single" w:sz="4" w:space="0" w:color="auto"/>
              <w:bottom w:val="nil"/>
              <w:right w:val="nil"/>
            </w:tcBorders>
            <w:shd w:val="clear" w:color="auto" w:fill="auto"/>
            <w:noWrap/>
            <w:vAlign w:val="bottom"/>
            <w:hideMark/>
          </w:tcPr>
          <w:p w14:paraId="0B342440"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Acute Kidney Injury</w:t>
            </w:r>
          </w:p>
        </w:tc>
        <w:tc>
          <w:tcPr>
            <w:tcW w:w="1950" w:type="dxa"/>
            <w:tcBorders>
              <w:top w:val="nil"/>
              <w:left w:val="nil"/>
              <w:bottom w:val="nil"/>
              <w:right w:val="nil"/>
            </w:tcBorders>
            <w:shd w:val="clear" w:color="auto" w:fill="auto"/>
            <w:noWrap/>
            <w:vAlign w:val="bottom"/>
            <w:hideMark/>
          </w:tcPr>
          <w:p w14:paraId="6A5F7128"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0.2</w:t>
            </w:r>
            <w:r>
              <w:rPr>
                <w:rFonts w:ascii="Arial" w:hAnsi="Arial" w:cs="Arial"/>
                <w:color w:val="000000"/>
                <w:sz w:val="24"/>
                <w:szCs w:val="24"/>
              </w:rPr>
              <w:t>67</w:t>
            </w:r>
          </w:p>
        </w:tc>
        <w:tc>
          <w:tcPr>
            <w:tcW w:w="1585" w:type="dxa"/>
            <w:tcBorders>
              <w:top w:val="nil"/>
              <w:left w:val="nil"/>
              <w:bottom w:val="nil"/>
              <w:right w:val="nil"/>
            </w:tcBorders>
            <w:shd w:val="clear" w:color="auto" w:fill="auto"/>
            <w:noWrap/>
            <w:vAlign w:val="bottom"/>
            <w:hideMark/>
          </w:tcPr>
          <w:p w14:paraId="6A84F76D"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Pr>
                <w:rFonts w:ascii="Arial" w:hAnsi="Arial" w:cs="Arial"/>
                <w:color w:val="000000"/>
                <w:sz w:val="24"/>
                <w:szCs w:val="24"/>
              </w:rPr>
              <w:t>31</w:t>
            </w:r>
          </w:p>
        </w:tc>
        <w:tc>
          <w:tcPr>
            <w:tcW w:w="1697" w:type="dxa"/>
            <w:tcBorders>
              <w:top w:val="nil"/>
              <w:left w:val="nil"/>
              <w:bottom w:val="nil"/>
              <w:right w:val="single" w:sz="4" w:space="0" w:color="auto"/>
            </w:tcBorders>
            <w:shd w:val="clear" w:color="auto" w:fill="auto"/>
            <w:noWrap/>
            <w:vAlign w:val="bottom"/>
            <w:hideMark/>
          </w:tcPr>
          <w:p w14:paraId="0A150005" w14:textId="77777777" w:rsidR="00576894" w:rsidRPr="001723D0" w:rsidRDefault="00576894" w:rsidP="00576894">
            <w:pPr>
              <w:spacing w:after="0" w:line="240" w:lineRule="auto"/>
              <w:jc w:val="center"/>
              <w:rPr>
                <w:rFonts w:ascii="Arial" w:hAnsi="Arial" w:cs="Arial"/>
                <w:color w:val="000000"/>
                <w:sz w:val="24"/>
                <w:szCs w:val="24"/>
              </w:rPr>
            </w:pPr>
            <w:r w:rsidRPr="001723D0">
              <w:rPr>
                <w:rFonts w:ascii="Arial" w:hAnsi="Arial" w:cs="Arial"/>
                <w:color w:val="000000"/>
                <w:sz w:val="24"/>
                <w:szCs w:val="24"/>
              </w:rPr>
              <w:t>1.</w:t>
            </w:r>
            <w:r>
              <w:rPr>
                <w:rFonts w:ascii="Arial" w:hAnsi="Arial" w:cs="Arial"/>
                <w:color w:val="000000"/>
                <w:sz w:val="24"/>
                <w:szCs w:val="24"/>
              </w:rPr>
              <w:t>12</w:t>
            </w:r>
            <w:r w:rsidRPr="001723D0">
              <w:rPr>
                <w:rFonts w:ascii="Arial" w:hAnsi="Arial" w:cs="Arial"/>
                <w:color w:val="000000"/>
                <w:sz w:val="24"/>
                <w:szCs w:val="24"/>
              </w:rPr>
              <w:t>, 1.</w:t>
            </w:r>
            <w:r>
              <w:rPr>
                <w:rFonts w:ascii="Arial" w:hAnsi="Arial" w:cs="Arial"/>
                <w:color w:val="000000"/>
                <w:sz w:val="24"/>
                <w:szCs w:val="24"/>
              </w:rPr>
              <w:t>52</w:t>
            </w:r>
          </w:p>
        </w:tc>
      </w:tr>
      <w:tr w:rsidR="00576894" w:rsidRPr="008B025A" w14:paraId="29E119AB" w14:textId="77777777" w:rsidTr="00576894">
        <w:trPr>
          <w:trHeight w:val="304"/>
        </w:trPr>
        <w:tc>
          <w:tcPr>
            <w:tcW w:w="4608" w:type="dxa"/>
            <w:tcBorders>
              <w:top w:val="nil"/>
              <w:left w:val="single" w:sz="4" w:space="0" w:color="auto"/>
              <w:bottom w:val="single" w:sz="4" w:space="0" w:color="auto"/>
              <w:right w:val="nil"/>
            </w:tcBorders>
            <w:shd w:val="clear" w:color="auto" w:fill="auto"/>
            <w:noWrap/>
            <w:vAlign w:val="bottom"/>
            <w:hideMark/>
          </w:tcPr>
          <w:p w14:paraId="5A1C6F52" w14:textId="77777777" w:rsidR="00576894" w:rsidRPr="001723D0" w:rsidRDefault="00576894" w:rsidP="00576894">
            <w:pPr>
              <w:spacing w:after="0" w:line="240" w:lineRule="auto"/>
              <w:rPr>
                <w:rFonts w:ascii="Arial" w:hAnsi="Arial" w:cs="Arial"/>
                <w:color w:val="000000"/>
                <w:sz w:val="24"/>
                <w:szCs w:val="24"/>
              </w:rPr>
            </w:pPr>
            <w:r w:rsidRPr="001723D0">
              <w:rPr>
                <w:rFonts w:ascii="Arial" w:hAnsi="Arial" w:cs="Arial"/>
                <w:color w:val="000000"/>
                <w:sz w:val="24"/>
                <w:szCs w:val="24"/>
              </w:rPr>
              <w:t>Coagulopathy</w:t>
            </w:r>
          </w:p>
        </w:tc>
        <w:tc>
          <w:tcPr>
            <w:tcW w:w="1950" w:type="dxa"/>
            <w:tcBorders>
              <w:top w:val="nil"/>
              <w:left w:val="nil"/>
              <w:bottom w:val="single" w:sz="4" w:space="0" w:color="auto"/>
              <w:right w:val="nil"/>
            </w:tcBorders>
            <w:shd w:val="clear" w:color="auto" w:fill="auto"/>
            <w:noWrap/>
            <w:vAlign w:val="bottom"/>
            <w:hideMark/>
          </w:tcPr>
          <w:p w14:paraId="0FE78A30" w14:textId="33308552"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366E88">
              <w:rPr>
                <w:rFonts w:ascii="Arial" w:hAnsi="Arial" w:cs="Arial"/>
                <w:color w:val="000000"/>
                <w:sz w:val="24"/>
                <w:szCs w:val="24"/>
              </w:rPr>
              <w:t>175</w:t>
            </w:r>
          </w:p>
        </w:tc>
        <w:tc>
          <w:tcPr>
            <w:tcW w:w="1585" w:type="dxa"/>
            <w:tcBorders>
              <w:top w:val="nil"/>
              <w:left w:val="nil"/>
              <w:bottom w:val="single" w:sz="4" w:space="0" w:color="auto"/>
              <w:right w:val="nil"/>
            </w:tcBorders>
            <w:shd w:val="clear" w:color="auto" w:fill="auto"/>
            <w:noWrap/>
            <w:vAlign w:val="bottom"/>
            <w:hideMark/>
          </w:tcPr>
          <w:p w14:paraId="40AD0E68" w14:textId="6DD340E0"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w:t>
            </w:r>
            <w:r w:rsidR="00366E88">
              <w:rPr>
                <w:rFonts w:ascii="Arial" w:hAnsi="Arial" w:cs="Arial"/>
                <w:color w:val="000000"/>
                <w:sz w:val="24"/>
                <w:szCs w:val="24"/>
              </w:rPr>
              <w:t>84</w:t>
            </w:r>
          </w:p>
        </w:tc>
        <w:tc>
          <w:tcPr>
            <w:tcW w:w="1697" w:type="dxa"/>
            <w:tcBorders>
              <w:top w:val="nil"/>
              <w:left w:val="nil"/>
              <w:bottom w:val="single" w:sz="4" w:space="0" w:color="auto"/>
              <w:right w:val="single" w:sz="4" w:space="0" w:color="auto"/>
            </w:tcBorders>
            <w:shd w:val="clear" w:color="auto" w:fill="auto"/>
            <w:noWrap/>
            <w:vAlign w:val="bottom"/>
            <w:hideMark/>
          </w:tcPr>
          <w:p w14:paraId="4A0E83BF" w14:textId="4622AE57" w:rsidR="00576894" w:rsidRPr="001723D0" w:rsidRDefault="00576894" w:rsidP="00366E88">
            <w:pPr>
              <w:spacing w:after="0" w:line="240" w:lineRule="auto"/>
              <w:jc w:val="center"/>
              <w:rPr>
                <w:rFonts w:ascii="Arial" w:hAnsi="Arial" w:cs="Arial"/>
                <w:color w:val="000000"/>
                <w:sz w:val="24"/>
                <w:szCs w:val="24"/>
              </w:rPr>
            </w:pPr>
            <w:r w:rsidRPr="001723D0">
              <w:rPr>
                <w:rFonts w:ascii="Arial" w:hAnsi="Arial" w:cs="Arial"/>
                <w:color w:val="000000"/>
                <w:sz w:val="24"/>
                <w:szCs w:val="24"/>
              </w:rPr>
              <w:t>0.7</w:t>
            </w:r>
            <w:r w:rsidR="00366E88">
              <w:rPr>
                <w:rFonts w:ascii="Arial" w:hAnsi="Arial" w:cs="Arial"/>
                <w:color w:val="000000"/>
                <w:sz w:val="24"/>
                <w:szCs w:val="24"/>
              </w:rPr>
              <w:t>2</w:t>
            </w:r>
            <w:r w:rsidRPr="001723D0">
              <w:rPr>
                <w:rFonts w:ascii="Arial" w:hAnsi="Arial" w:cs="Arial"/>
                <w:color w:val="000000"/>
                <w:sz w:val="24"/>
                <w:szCs w:val="24"/>
              </w:rPr>
              <w:t>, 0.9</w:t>
            </w:r>
            <w:r w:rsidR="00366E88">
              <w:rPr>
                <w:rFonts w:ascii="Arial" w:hAnsi="Arial" w:cs="Arial"/>
                <w:color w:val="000000"/>
                <w:sz w:val="24"/>
                <w:szCs w:val="24"/>
              </w:rPr>
              <w:t>8</w:t>
            </w:r>
          </w:p>
        </w:tc>
      </w:tr>
      <w:tr w:rsidR="00576894" w:rsidRPr="008B025A" w14:paraId="4E6380E9" w14:textId="77777777" w:rsidTr="00576894">
        <w:trPr>
          <w:trHeight w:val="304"/>
        </w:trPr>
        <w:tc>
          <w:tcPr>
            <w:tcW w:w="4608" w:type="dxa"/>
            <w:tcBorders>
              <w:top w:val="single" w:sz="4" w:space="0" w:color="auto"/>
              <w:left w:val="single" w:sz="4" w:space="0" w:color="auto"/>
              <w:right w:val="nil"/>
            </w:tcBorders>
            <w:shd w:val="clear" w:color="auto" w:fill="auto"/>
            <w:noWrap/>
            <w:vAlign w:val="bottom"/>
          </w:tcPr>
          <w:p w14:paraId="3BA28273" w14:textId="77777777" w:rsidR="00576894" w:rsidRPr="001723D0" w:rsidRDefault="00576894" w:rsidP="00576894">
            <w:pPr>
              <w:spacing w:after="0" w:line="240" w:lineRule="auto"/>
              <w:rPr>
                <w:rFonts w:ascii="Arial" w:hAnsi="Arial" w:cs="Arial"/>
                <w:color w:val="000000"/>
                <w:sz w:val="24"/>
                <w:szCs w:val="24"/>
              </w:rPr>
            </w:pPr>
            <w:r>
              <w:rPr>
                <w:rFonts w:ascii="Arial" w:hAnsi="Arial" w:cs="Arial"/>
                <w:color w:val="000000"/>
                <w:sz w:val="24"/>
                <w:szCs w:val="24"/>
              </w:rPr>
              <w:t>Hosmer-</w:t>
            </w:r>
            <w:proofErr w:type="spellStart"/>
            <w:r>
              <w:rPr>
                <w:rFonts w:ascii="Arial" w:hAnsi="Arial" w:cs="Arial"/>
                <w:color w:val="000000"/>
                <w:sz w:val="24"/>
                <w:szCs w:val="24"/>
              </w:rPr>
              <w:t>Lemeshow</w:t>
            </w:r>
            <w:proofErr w:type="spellEnd"/>
            <w:r>
              <w:rPr>
                <w:rFonts w:ascii="Arial" w:hAnsi="Arial" w:cs="Arial"/>
                <w:color w:val="000000"/>
                <w:sz w:val="24"/>
                <w:szCs w:val="24"/>
              </w:rPr>
              <w:t>: χ</w:t>
            </w:r>
            <w:r w:rsidRPr="00576894">
              <w:rPr>
                <w:rFonts w:ascii="Arial" w:hAnsi="Arial" w:cs="Arial"/>
                <w:color w:val="000000"/>
                <w:sz w:val="24"/>
                <w:szCs w:val="24"/>
                <w:vertAlign w:val="superscript"/>
              </w:rPr>
              <w:t>2</w:t>
            </w:r>
            <w:r>
              <w:rPr>
                <w:rFonts w:ascii="Arial" w:hAnsi="Arial" w:cs="Arial"/>
                <w:color w:val="000000"/>
                <w:sz w:val="24"/>
                <w:szCs w:val="24"/>
              </w:rPr>
              <w:t xml:space="preserve"> = 11.0, p=0.20</w:t>
            </w:r>
          </w:p>
        </w:tc>
        <w:tc>
          <w:tcPr>
            <w:tcW w:w="1950" w:type="dxa"/>
            <w:tcBorders>
              <w:top w:val="single" w:sz="4" w:space="0" w:color="auto"/>
              <w:left w:val="nil"/>
              <w:right w:val="nil"/>
            </w:tcBorders>
            <w:shd w:val="clear" w:color="auto" w:fill="auto"/>
            <w:noWrap/>
            <w:vAlign w:val="bottom"/>
          </w:tcPr>
          <w:p w14:paraId="64733AA2" w14:textId="77777777" w:rsidR="00576894" w:rsidRPr="001723D0" w:rsidRDefault="00576894" w:rsidP="00576894">
            <w:pPr>
              <w:spacing w:after="0" w:line="240" w:lineRule="auto"/>
              <w:jc w:val="center"/>
              <w:rPr>
                <w:rFonts w:ascii="Arial" w:hAnsi="Arial" w:cs="Arial"/>
                <w:color w:val="000000"/>
                <w:sz w:val="24"/>
                <w:szCs w:val="24"/>
              </w:rPr>
            </w:pPr>
          </w:p>
        </w:tc>
        <w:tc>
          <w:tcPr>
            <w:tcW w:w="1585" w:type="dxa"/>
            <w:tcBorders>
              <w:top w:val="single" w:sz="4" w:space="0" w:color="auto"/>
              <w:left w:val="nil"/>
              <w:right w:val="nil"/>
            </w:tcBorders>
            <w:shd w:val="clear" w:color="auto" w:fill="auto"/>
            <w:noWrap/>
            <w:vAlign w:val="bottom"/>
          </w:tcPr>
          <w:p w14:paraId="339D5648" w14:textId="77777777" w:rsidR="00576894" w:rsidRPr="001723D0" w:rsidRDefault="00576894" w:rsidP="00576894">
            <w:pPr>
              <w:spacing w:after="0" w:line="240" w:lineRule="auto"/>
              <w:jc w:val="center"/>
              <w:rPr>
                <w:rFonts w:ascii="Arial" w:hAnsi="Arial" w:cs="Arial"/>
                <w:color w:val="000000"/>
                <w:sz w:val="24"/>
                <w:szCs w:val="24"/>
              </w:rPr>
            </w:pPr>
          </w:p>
        </w:tc>
        <w:tc>
          <w:tcPr>
            <w:tcW w:w="1697" w:type="dxa"/>
            <w:tcBorders>
              <w:top w:val="single" w:sz="4" w:space="0" w:color="auto"/>
              <w:left w:val="nil"/>
              <w:right w:val="single" w:sz="4" w:space="0" w:color="auto"/>
            </w:tcBorders>
            <w:shd w:val="clear" w:color="auto" w:fill="auto"/>
            <w:noWrap/>
            <w:vAlign w:val="bottom"/>
          </w:tcPr>
          <w:p w14:paraId="3603E48B" w14:textId="77777777" w:rsidR="00576894" w:rsidRPr="001723D0" w:rsidRDefault="00576894" w:rsidP="00576894">
            <w:pPr>
              <w:spacing w:after="0" w:line="240" w:lineRule="auto"/>
              <w:jc w:val="center"/>
              <w:rPr>
                <w:rFonts w:ascii="Arial" w:hAnsi="Arial" w:cs="Arial"/>
                <w:color w:val="000000"/>
                <w:sz w:val="24"/>
                <w:szCs w:val="24"/>
              </w:rPr>
            </w:pPr>
          </w:p>
        </w:tc>
      </w:tr>
      <w:tr w:rsidR="00576894" w:rsidRPr="008B025A" w14:paraId="161F847A" w14:textId="77777777" w:rsidTr="00576894">
        <w:trPr>
          <w:trHeight w:val="304"/>
        </w:trPr>
        <w:tc>
          <w:tcPr>
            <w:tcW w:w="9840" w:type="dxa"/>
            <w:gridSpan w:val="4"/>
            <w:tcBorders>
              <w:left w:val="single" w:sz="4" w:space="0" w:color="auto"/>
              <w:bottom w:val="single" w:sz="4" w:space="0" w:color="auto"/>
              <w:right w:val="single" w:sz="4" w:space="0" w:color="auto"/>
            </w:tcBorders>
            <w:shd w:val="clear" w:color="auto" w:fill="auto"/>
            <w:noWrap/>
            <w:vAlign w:val="bottom"/>
          </w:tcPr>
          <w:p w14:paraId="5A55515F" w14:textId="77777777" w:rsidR="00576894" w:rsidRPr="001723D0" w:rsidRDefault="00576894" w:rsidP="00576894">
            <w:pPr>
              <w:spacing w:after="0" w:line="240" w:lineRule="auto"/>
              <w:rPr>
                <w:rFonts w:ascii="Arial" w:hAnsi="Arial" w:cs="Arial"/>
                <w:color w:val="000000"/>
                <w:sz w:val="24"/>
                <w:szCs w:val="24"/>
              </w:rPr>
            </w:pPr>
            <w:r>
              <w:rPr>
                <w:rFonts w:ascii="Arial" w:hAnsi="Arial" w:cs="Arial"/>
                <w:color w:val="000000"/>
                <w:sz w:val="24"/>
                <w:szCs w:val="24"/>
              </w:rPr>
              <w:t xml:space="preserve">Model displays maximum likelihood estimates and </w:t>
            </w:r>
            <w:proofErr w:type="spellStart"/>
            <w:r>
              <w:rPr>
                <w:rFonts w:ascii="Arial" w:hAnsi="Arial" w:cs="Arial"/>
                <w:color w:val="000000"/>
                <w:sz w:val="24"/>
                <w:szCs w:val="24"/>
              </w:rPr>
              <w:t>exponentiated</w:t>
            </w:r>
            <w:proofErr w:type="spellEnd"/>
            <w:r>
              <w:rPr>
                <w:rFonts w:ascii="Arial" w:hAnsi="Arial" w:cs="Arial"/>
                <w:color w:val="000000"/>
                <w:sz w:val="24"/>
                <w:szCs w:val="24"/>
              </w:rPr>
              <w:t xml:space="preserve"> coefficient values with confidence intervals. The dependent variable is community-acquired vs. non-ICU hospital-hospital acquired sepsis, where positive estimates (and odds ratios &gt;1.0) indicate greater propensity for community-acquired.</w:t>
            </w:r>
          </w:p>
        </w:tc>
      </w:tr>
    </w:tbl>
    <w:p w14:paraId="522A036D" w14:textId="77777777" w:rsidR="00576894" w:rsidRDefault="00576894"/>
    <w:p w14:paraId="52B10A23" w14:textId="77777777" w:rsidR="00C148F7" w:rsidRDefault="00C148F7">
      <w:r>
        <w:br w:type="page"/>
      </w:r>
    </w:p>
    <w:tbl>
      <w:tblPr>
        <w:tblW w:w="11016" w:type="dxa"/>
        <w:tblLayout w:type="fixed"/>
        <w:tblLook w:val="04A0" w:firstRow="1" w:lastRow="0" w:firstColumn="1" w:lastColumn="0" w:noHBand="0" w:noVBand="1"/>
      </w:tblPr>
      <w:tblGrid>
        <w:gridCol w:w="3258"/>
        <w:gridCol w:w="1530"/>
        <w:gridCol w:w="1530"/>
        <w:gridCol w:w="1530"/>
        <w:gridCol w:w="1620"/>
        <w:gridCol w:w="1548"/>
      </w:tblGrid>
      <w:tr w:rsidR="00C148F7" w:rsidRPr="00701584" w14:paraId="3A4B2CDE" w14:textId="77777777" w:rsidTr="00C148F7">
        <w:trPr>
          <w:trHeight w:val="170"/>
        </w:trPr>
        <w:tc>
          <w:tcPr>
            <w:tcW w:w="11016" w:type="dxa"/>
            <w:gridSpan w:val="6"/>
            <w:tcBorders>
              <w:top w:val="single" w:sz="4" w:space="0" w:color="auto"/>
              <w:left w:val="single" w:sz="4" w:space="0" w:color="auto"/>
              <w:right w:val="single" w:sz="4" w:space="0" w:color="auto"/>
            </w:tcBorders>
            <w:hideMark/>
          </w:tcPr>
          <w:p w14:paraId="6CDECC29" w14:textId="315A942C" w:rsidR="00C148F7" w:rsidRPr="00701584" w:rsidRDefault="00C148F7" w:rsidP="00C148F7">
            <w:pPr>
              <w:spacing w:line="240" w:lineRule="auto"/>
              <w:rPr>
                <w:rFonts w:ascii="Arial" w:hAnsi="Arial" w:cs="Arial"/>
                <w:b/>
                <w:bCs/>
                <w:color w:val="000000"/>
                <w:sz w:val="28"/>
                <w:szCs w:val="28"/>
              </w:rPr>
            </w:pPr>
            <w:r>
              <w:rPr>
                <w:rFonts w:ascii="Arial" w:hAnsi="Arial" w:cs="Arial"/>
                <w:b/>
                <w:bCs/>
                <w:color w:val="000000"/>
                <w:sz w:val="28"/>
                <w:szCs w:val="28"/>
              </w:rPr>
              <w:t>Supplemental Table 6:</w:t>
            </w:r>
            <w:r w:rsidRPr="00701584">
              <w:rPr>
                <w:rFonts w:ascii="Arial" w:hAnsi="Arial" w:cs="Arial"/>
                <w:b/>
                <w:bCs/>
                <w:color w:val="000000"/>
                <w:sz w:val="28"/>
                <w:szCs w:val="28"/>
              </w:rPr>
              <w:t xml:space="preserve"> </w:t>
            </w:r>
            <w:r>
              <w:rPr>
                <w:rFonts w:ascii="Arial" w:hAnsi="Arial" w:cs="Arial"/>
                <w:b/>
                <w:bCs/>
                <w:color w:val="000000"/>
                <w:sz w:val="28"/>
                <w:szCs w:val="28"/>
              </w:rPr>
              <w:t>Process and Patient Outcomes in Unmatched and Matched Cohorts</w:t>
            </w:r>
            <w:r w:rsidRPr="00701584">
              <w:rPr>
                <w:rFonts w:ascii="Arial" w:hAnsi="Arial" w:cs="Arial"/>
                <w:b/>
                <w:bCs/>
                <w:color w:val="000000"/>
                <w:sz w:val="28"/>
                <w:szCs w:val="28"/>
              </w:rPr>
              <w:t xml:space="preserve"> </w:t>
            </w:r>
          </w:p>
        </w:tc>
      </w:tr>
      <w:tr w:rsidR="00C148F7" w:rsidRPr="00701584" w14:paraId="0C3EADAF" w14:textId="77777777" w:rsidTr="00C148F7">
        <w:trPr>
          <w:trHeight w:hRule="exact" w:val="333"/>
        </w:trPr>
        <w:tc>
          <w:tcPr>
            <w:tcW w:w="3258" w:type="dxa"/>
            <w:tcBorders>
              <w:left w:val="single" w:sz="4" w:space="0" w:color="auto"/>
            </w:tcBorders>
          </w:tcPr>
          <w:p w14:paraId="710510BE" w14:textId="77777777" w:rsidR="00C148F7" w:rsidRPr="00DF7CD3" w:rsidRDefault="00C148F7" w:rsidP="00C148F7">
            <w:pPr>
              <w:rPr>
                <w:rFonts w:ascii="Arial" w:hAnsi="Arial" w:cs="Arial"/>
                <w:b/>
                <w:color w:val="000000"/>
                <w:szCs w:val="16"/>
              </w:rPr>
            </w:pPr>
          </w:p>
        </w:tc>
        <w:tc>
          <w:tcPr>
            <w:tcW w:w="4590" w:type="dxa"/>
            <w:gridSpan w:val="3"/>
          </w:tcPr>
          <w:p w14:paraId="6A604FE4" w14:textId="77777777" w:rsidR="00C148F7" w:rsidRPr="0085797C" w:rsidRDefault="00C148F7" w:rsidP="00C148F7">
            <w:pPr>
              <w:jc w:val="center"/>
              <w:rPr>
                <w:rFonts w:ascii="Arial" w:hAnsi="Arial"/>
                <w:b/>
                <w:color w:val="000000"/>
              </w:rPr>
            </w:pPr>
            <w:r w:rsidRPr="0085797C">
              <w:rPr>
                <w:rFonts w:ascii="Arial" w:hAnsi="Arial"/>
                <w:b/>
                <w:color w:val="000000"/>
              </w:rPr>
              <w:t>Entire (Unmatched) Cohort</w:t>
            </w:r>
          </w:p>
        </w:tc>
        <w:tc>
          <w:tcPr>
            <w:tcW w:w="3168" w:type="dxa"/>
            <w:gridSpan w:val="2"/>
            <w:tcBorders>
              <w:right w:val="single" w:sz="4" w:space="0" w:color="auto"/>
            </w:tcBorders>
          </w:tcPr>
          <w:p w14:paraId="0BE5DC3C" w14:textId="77777777" w:rsidR="00C148F7" w:rsidRPr="00353B70" w:rsidRDefault="00C148F7" w:rsidP="00C148F7">
            <w:pPr>
              <w:jc w:val="center"/>
              <w:rPr>
                <w:rFonts w:ascii="Arial" w:hAnsi="Arial" w:cs="Arial"/>
                <w:b/>
                <w:color w:val="000000"/>
                <w:szCs w:val="16"/>
              </w:rPr>
            </w:pPr>
            <w:r w:rsidRPr="0085797C">
              <w:rPr>
                <w:rFonts w:ascii="Arial" w:hAnsi="Arial"/>
                <w:b/>
                <w:color w:val="000000"/>
              </w:rPr>
              <w:t>Matched Cohort</w:t>
            </w:r>
          </w:p>
        </w:tc>
      </w:tr>
      <w:tr w:rsidR="00C148F7" w:rsidRPr="00701584" w14:paraId="3D049C4F" w14:textId="77777777" w:rsidTr="00C148F7">
        <w:trPr>
          <w:trHeight w:hRule="exact" w:val="270"/>
        </w:trPr>
        <w:tc>
          <w:tcPr>
            <w:tcW w:w="3258" w:type="dxa"/>
            <w:tcBorders>
              <w:left w:val="single" w:sz="4" w:space="0" w:color="auto"/>
              <w:bottom w:val="single" w:sz="4" w:space="0" w:color="auto"/>
              <w:right w:val="nil"/>
            </w:tcBorders>
            <w:shd w:val="clear" w:color="auto" w:fill="auto"/>
            <w:vAlign w:val="center"/>
          </w:tcPr>
          <w:p w14:paraId="5B99DBC7" w14:textId="77777777" w:rsidR="00C148F7" w:rsidRPr="0085797C" w:rsidRDefault="00C148F7" w:rsidP="00C148F7">
            <w:pPr>
              <w:rPr>
                <w:rFonts w:ascii="Arial" w:hAnsi="Arial"/>
                <w:color w:val="000000"/>
              </w:rPr>
            </w:pPr>
            <w:r w:rsidRPr="0085797C">
              <w:rPr>
                <w:rFonts w:ascii="Arial" w:hAnsi="Arial"/>
                <w:b/>
                <w:color w:val="000000"/>
              </w:rPr>
              <w:t>Variable</w:t>
            </w:r>
          </w:p>
        </w:tc>
        <w:tc>
          <w:tcPr>
            <w:tcW w:w="1530" w:type="dxa"/>
            <w:tcBorders>
              <w:left w:val="nil"/>
              <w:bottom w:val="single" w:sz="4" w:space="0" w:color="auto"/>
              <w:right w:val="nil"/>
            </w:tcBorders>
            <w:shd w:val="clear" w:color="auto" w:fill="auto"/>
            <w:vAlign w:val="center"/>
          </w:tcPr>
          <w:p w14:paraId="38914CE4" w14:textId="77777777" w:rsidR="00C148F7" w:rsidRPr="00473334" w:rsidRDefault="00C148F7" w:rsidP="00C148F7">
            <w:pPr>
              <w:jc w:val="center"/>
              <w:rPr>
                <w:rFonts w:ascii="Arial" w:hAnsi="Arial" w:cs="Arial"/>
                <w:b/>
                <w:color w:val="000000"/>
                <w:szCs w:val="16"/>
              </w:rPr>
            </w:pPr>
            <w:r w:rsidRPr="00473334">
              <w:rPr>
                <w:rFonts w:ascii="Arial" w:hAnsi="Arial" w:cs="Arial"/>
                <w:b/>
                <w:color w:val="000000"/>
                <w:szCs w:val="16"/>
              </w:rPr>
              <w:t>All Subjects</w:t>
            </w:r>
          </w:p>
        </w:tc>
        <w:tc>
          <w:tcPr>
            <w:tcW w:w="1530" w:type="dxa"/>
            <w:tcBorders>
              <w:left w:val="nil"/>
              <w:bottom w:val="single" w:sz="4" w:space="0" w:color="auto"/>
              <w:right w:val="nil"/>
            </w:tcBorders>
            <w:shd w:val="clear" w:color="auto" w:fill="auto"/>
            <w:vAlign w:val="center"/>
          </w:tcPr>
          <w:p w14:paraId="393F9A60" w14:textId="77777777" w:rsidR="00C148F7" w:rsidRPr="00473334" w:rsidRDefault="00C148F7" w:rsidP="00C148F7">
            <w:pPr>
              <w:jc w:val="center"/>
              <w:rPr>
                <w:rFonts w:ascii="Arial" w:hAnsi="Arial" w:cs="Arial"/>
                <w:b/>
                <w:color w:val="000000"/>
                <w:szCs w:val="16"/>
              </w:rPr>
            </w:pPr>
            <w:r>
              <w:rPr>
                <w:rFonts w:ascii="Arial" w:hAnsi="Arial" w:cs="Arial"/>
                <w:b/>
                <w:color w:val="000000"/>
                <w:szCs w:val="16"/>
              </w:rPr>
              <w:t>EDPS</w:t>
            </w:r>
          </w:p>
        </w:tc>
        <w:tc>
          <w:tcPr>
            <w:tcW w:w="1530" w:type="dxa"/>
            <w:tcBorders>
              <w:left w:val="nil"/>
              <w:bottom w:val="single" w:sz="4" w:space="0" w:color="auto"/>
            </w:tcBorders>
            <w:shd w:val="clear" w:color="auto" w:fill="auto"/>
            <w:vAlign w:val="center"/>
          </w:tcPr>
          <w:p w14:paraId="58121CA8" w14:textId="77777777" w:rsidR="00C148F7" w:rsidRPr="00473334" w:rsidRDefault="00C148F7" w:rsidP="00C148F7">
            <w:pPr>
              <w:jc w:val="center"/>
              <w:rPr>
                <w:rFonts w:ascii="Arial" w:hAnsi="Arial" w:cs="Arial"/>
                <w:b/>
                <w:color w:val="000000"/>
                <w:szCs w:val="16"/>
              </w:rPr>
            </w:pPr>
            <w:r w:rsidRPr="00473334">
              <w:rPr>
                <w:rFonts w:ascii="Arial" w:hAnsi="Arial" w:cs="Arial"/>
                <w:b/>
                <w:color w:val="000000"/>
                <w:szCs w:val="16"/>
              </w:rPr>
              <w:t xml:space="preserve">(All) </w:t>
            </w:r>
            <w:r>
              <w:rPr>
                <w:rFonts w:ascii="Arial" w:hAnsi="Arial" w:cs="Arial"/>
                <w:b/>
                <w:color w:val="000000"/>
                <w:szCs w:val="16"/>
              </w:rPr>
              <w:t>HPS</w:t>
            </w:r>
          </w:p>
        </w:tc>
        <w:tc>
          <w:tcPr>
            <w:tcW w:w="1620" w:type="dxa"/>
            <w:tcBorders>
              <w:bottom w:val="single" w:sz="4" w:space="0" w:color="auto"/>
            </w:tcBorders>
            <w:vAlign w:val="center"/>
          </w:tcPr>
          <w:p w14:paraId="49E23352" w14:textId="77777777" w:rsidR="00C148F7" w:rsidRPr="00473334" w:rsidRDefault="00C148F7" w:rsidP="00C148F7">
            <w:pPr>
              <w:jc w:val="center"/>
              <w:rPr>
                <w:rFonts w:ascii="Arial" w:hAnsi="Arial" w:cs="Arial"/>
                <w:b/>
                <w:color w:val="000000"/>
                <w:szCs w:val="16"/>
              </w:rPr>
            </w:pPr>
            <w:r>
              <w:rPr>
                <w:rFonts w:ascii="Arial" w:hAnsi="Arial" w:cs="Arial"/>
                <w:b/>
                <w:color w:val="000000"/>
                <w:szCs w:val="16"/>
              </w:rPr>
              <w:t>EDPS</w:t>
            </w:r>
          </w:p>
        </w:tc>
        <w:tc>
          <w:tcPr>
            <w:tcW w:w="1548" w:type="dxa"/>
            <w:tcBorders>
              <w:bottom w:val="single" w:sz="4" w:space="0" w:color="auto"/>
              <w:right w:val="single" w:sz="4" w:space="0" w:color="auto"/>
            </w:tcBorders>
            <w:vAlign w:val="center"/>
          </w:tcPr>
          <w:p w14:paraId="05D7A5E9" w14:textId="77777777" w:rsidR="00C148F7" w:rsidRPr="00473334" w:rsidRDefault="00C148F7" w:rsidP="00C148F7">
            <w:pPr>
              <w:jc w:val="center"/>
              <w:rPr>
                <w:rFonts w:ascii="Arial" w:hAnsi="Arial" w:cs="Arial"/>
                <w:b/>
                <w:color w:val="000000"/>
                <w:szCs w:val="16"/>
              </w:rPr>
            </w:pPr>
            <w:r w:rsidRPr="00473334">
              <w:rPr>
                <w:rFonts w:ascii="Arial" w:hAnsi="Arial" w:cs="Arial"/>
                <w:b/>
                <w:color w:val="000000"/>
                <w:szCs w:val="16"/>
              </w:rPr>
              <w:t xml:space="preserve">(All) </w:t>
            </w:r>
            <w:r>
              <w:rPr>
                <w:rFonts w:ascii="Arial" w:hAnsi="Arial" w:cs="Arial"/>
                <w:b/>
                <w:color w:val="000000"/>
                <w:szCs w:val="16"/>
              </w:rPr>
              <w:t>HPS</w:t>
            </w:r>
          </w:p>
        </w:tc>
      </w:tr>
      <w:tr w:rsidR="00C148F7" w:rsidRPr="00701584" w14:paraId="6B6235C8" w14:textId="77777777" w:rsidTr="00C148F7">
        <w:trPr>
          <w:trHeight w:val="86"/>
        </w:trPr>
        <w:tc>
          <w:tcPr>
            <w:tcW w:w="3258" w:type="dxa"/>
            <w:tcBorders>
              <w:top w:val="single" w:sz="4" w:space="0" w:color="auto"/>
              <w:left w:val="single" w:sz="4" w:space="0" w:color="auto"/>
              <w:bottom w:val="nil"/>
              <w:right w:val="single" w:sz="4" w:space="0" w:color="auto"/>
            </w:tcBorders>
            <w:shd w:val="clear" w:color="auto" w:fill="auto"/>
            <w:vAlign w:val="center"/>
          </w:tcPr>
          <w:p w14:paraId="74ED532B" w14:textId="77777777" w:rsidR="00C148F7" w:rsidRPr="00DF7CD3" w:rsidRDefault="00C148F7" w:rsidP="00C148F7">
            <w:pPr>
              <w:rPr>
                <w:rFonts w:ascii="Arial" w:hAnsi="Arial" w:cs="Arial"/>
                <w:b/>
                <w:color w:val="000000"/>
                <w:sz w:val="20"/>
                <w:szCs w:val="16"/>
              </w:rPr>
            </w:pPr>
            <w:r>
              <w:rPr>
                <w:rFonts w:ascii="Arial" w:hAnsi="Arial" w:cs="Arial"/>
                <w:b/>
                <w:color w:val="000000"/>
                <w:sz w:val="20"/>
                <w:szCs w:val="16"/>
              </w:rPr>
              <w:t>N</w:t>
            </w:r>
          </w:p>
        </w:tc>
        <w:tc>
          <w:tcPr>
            <w:tcW w:w="1530" w:type="dxa"/>
            <w:tcBorders>
              <w:top w:val="single" w:sz="4" w:space="0" w:color="auto"/>
              <w:left w:val="single" w:sz="4" w:space="0" w:color="auto"/>
              <w:bottom w:val="nil"/>
              <w:right w:val="nil"/>
            </w:tcBorders>
            <w:shd w:val="clear" w:color="auto" w:fill="auto"/>
            <w:vAlign w:val="center"/>
          </w:tcPr>
          <w:p w14:paraId="4F9C9BF8" w14:textId="77777777" w:rsidR="00C148F7" w:rsidRPr="00DF7CD3" w:rsidRDefault="00C148F7" w:rsidP="00C148F7">
            <w:pPr>
              <w:jc w:val="center"/>
              <w:rPr>
                <w:rFonts w:ascii="Arial" w:hAnsi="Arial" w:cs="Arial"/>
                <w:color w:val="000000"/>
                <w:sz w:val="20"/>
                <w:szCs w:val="16"/>
              </w:rPr>
            </w:pPr>
            <w:r w:rsidRPr="009E79EE">
              <w:rPr>
                <w:rFonts w:ascii="Arial" w:hAnsi="Arial" w:cs="Arial"/>
                <w:b/>
                <w:color w:val="000000"/>
                <w:sz w:val="20"/>
                <w:szCs w:val="16"/>
              </w:rPr>
              <w:t>11,182</w:t>
            </w:r>
          </w:p>
        </w:tc>
        <w:tc>
          <w:tcPr>
            <w:tcW w:w="1530" w:type="dxa"/>
            <w:tcBorders>
              <w:top w:val="single" w:sz="4" w:space="0" w:color="auto"/>
              <w:left w:val="nil"/>
              <w:bottom w:val="nil"/>
              <w:right w:val="nil"/>
            </w:tcBorders>
            <w:shd w:val="clear" w:color="auto" w:fill="auto"/>
            <w:vAlign w:val="center"/>
          </w:tcPr>
          <w:p w14:paraId="461862F8" w14:textId="77777777" w:rsidR="00C148F7" w:rsidRPr="00DF7CD3" w:rsidRDefault="00C148F7" w:rsidP="00C148F7">
            <w:pPr>
              <w:jc w:val="center"/>
              <w:rPr>
                <w:rFonts w:ascii="Arial" w:hAnsi="Arial" w:cs="Arial"/>
                <w:color w:val="000000"/>
                <w:sz w:val="20"/>
                <w:szCs w:val="16"/>
              </w:rPr>
            </w:pPr>
            <w:r w:rsidRPr="009E79EE">
              <w:rPr>
                <w:rFonts w:ascii="Arial" w:hAnsi="Arial" w:cs="Arial"/>
                <w:b/>
                <w:color w:val="000000"/>
                <w:sz w:val="20"/>
                <w:szCs w:val="16"/>
              </w:rPr>
              <w:t>8,673 (77.6%)</w:t>
            </w:r>
          </w:p>
        </w:tc>
        <w:tc>
          <w:tcPr>
            <w:tcW w:w="1530" w:type="dxa"/>
            <w:tcBorders>
              <w:top w:val="single" w:sz="4" w:space="0" w:color="auto"/>
              <w:left w:val="nil"/>
              <w:bottom w:val="nil"/>
              <w:right w:val="single" w:sz="4" w:space="0" w:color="auto"/>
            </w:tcBorders>
            <w:shd w:val="clear" w:color="auto" w:fill="auto"/>
            <w:vAlign w:val="center"/>
          </w:tcPr>
          <w:p w14:paraId="309990D2" w14:textId="77777777" w:rsidR="00C148F7" w:rsidRPr="00DF7CD3" w:rsidRDefault="00C148F7" w:rsidP="00C148F7">
            <w:pPr>
              <w:jc w:val="center"/>
              <w:rPr>
                <w:rFonts w:ascii="Arial" w:hAnsi="Arial" w:cs="Arial"/>
                <w:color w:val="000000"/>
                <w:sz w:val="20"/>
                <w:szCs w:val="16"/>
              </w:rPr>
            </w:pPr>
            <w:r w:rsidRPr="009E79EE">
              <w:rPr>
                <w:rFonts w:ascii="Arial" w:hAnsi="Arial" w:cs="Arial"/>
                <w:b/>
                <w:color w:val="000000"/>
                <w:sz w:val="20"/>
                <w:szCs w:val="16"/>
              </w:rPr>
              <w:t>2,509 (22.4%)</w:t>
            </w:r>
          </w:p>
        </w:tc>
        <w:tc>
          <w:tcPr>
            <w:tcW w:w="1620" w:type="dxa"/>
            <w:tcBorders>
              <w:top w:val="single" w:sz="4" w:space="0" w:color="auto"/>
              <w:left w:val="nil"/>
              <w:bottom w:val="nil"/>
            </w:tcBorders>
            <w:vAlign w:val="center"/>
          </w:tcPr>
          <w:p w14:paraId="0E55A222" w14:textId="77777777" w:rsidR="00C148F7" w:rsidRPr="00DF7CD3" w:rsidRDefault="00C148F7" w:rsidP="00C148F7">
            <w:pPr>
              <w:jc w:val="center"/>
              <w:rPr>
                <w:rFonts w:ascii="Arial" w:hAnsi="Arial" w:cs="Arial"/>
                <w:color w:val="000000"/>
                <w:sz w:val="20"/>
                <w:szCs w:val="16"/>
              </w:rPr>
            </w:pPr>
            <w:r w:rsidRPr="009E79EE">
              <w:rPr>
                <w:rFonts w:ascii="Arial" w:hAnsi="Arial" w:cs="Arial"/>
                <w:b/>
                <w:color w:val="000000"/>
                <w:sz w:val="20"/>
                <w:szCs w:val="20"/>
              </w:rPr>
              <w:t>1,942 (50</w:t>
            </w:r>
            <w:r>
              <w:rPr>
                <w:rFonts w:ascii="Arial" w:hAnsi="Arial" w:cs="Arial"/>
                <w:b/>
                <w:color w:val="000000"/>
                <w:sz w:val="20"/>
                <w:szCs w:val="20"/>
              </w:rPr>
              <w:t>.0</w:t>
            </w:r>
            <w:r w:rsidRPr="009E79EE">
              <w:rPr>
                <w:rFonts w:ascii="Arial" w:hAnsi="Arial" w:cs="Arial"/>
                <w:b/>
                <w:color w:val="000000"/>
                <w:sz w:val="20"/>
                <w:szCs w:val="20"/>
              </w:rPr>
              <w:t>%)</w:t>
            </w:r>
          </w:p>
        </w:tc>
        <w:tc>
          <w:tcPr>
            <w:tcW w:w="1548" w:type="dxa"/>
            <w:tcBorders>
              <w:top w:val="single" w:sz="4" w:space="0" w:color="auto"/>
              <w:bottom w:val="nil"/>
              <w:right w:val="single" w:sz="4" w:space="0" w:color="auto"/>
            </w:tcBorders>
            <w:vAlign w:val="center"/>
          </w:tcPr>
          <w:p w14:paraId="06399DAA" w14:textId="77777777" w:rsidR="00C148F7" w:rsidRPr="00DF7CD3" w:rsidRDefault="00C148F7" w:rsidP="00C148F7">
            <w:pPr>
              <w:jc w:val="center"/>
              <w:rPr>
                <w:rFonts w:ascii="Arial" w:hAnsi="Arial" w:cs="Arial"/>
                <w:color w:val="000000"/>
                <w:sz w:val="20"/>
                <w:szCs w:val="16"/>
              </w:rPr>
            </w:pPr>
            <w:r w:rsidRPr="009E79EE">
              <w:rPr>
                <w:rFonts w:ascii="Arial" w:hAnsi="Arial" w:cs="Arial"/>
                <w:b/>
                <w:color w:val="000000"/>
                <w:sz w:val="20"/>
                <w:szCs w:val="20"/>
              </w:rPr>
              <w:t>1,942 (50</w:t>
            </w:r>
            <w:r>
              <w:rPr>
                <w:rFonts w:ascii="Arial" w:hAnsi="Arial" w:cs="Arial"/>
                <w:b/>
                <w:color w:val="000000"/>
                <w:sz w:val="20"/>
                <w:szCs w:val="20"/>
              </w:rPr>
              <w:t>.0</w:t>
            </w:r>
            <w:r w:rsidRPr="009E79EE">
              <w:rPr>
                <w:rFonts w:ascii="Arial" w:hAnsi="Arial" w:cs="Arial"/>
                <w:b/>
                <w:color w:val="000000"/>
                <w:sz w:val="20"/>
                <w:szCs w:val="20"/>
              </w:rPr>
              <w:t>%)</w:t>
            </w:r>
          </w:p>
        </w:tc>
      </w:tr>
      <w:tr w:rsidR="00C148F7" w:rsidRPr="00701584" w14:paraId="6F5D16C9" w14:textId="77777777" w:rsidTr="00C148F7">
        <w:trPr>
          <w:trHeight w:val="230"/>
        </w:trPr>
        <w:tc>
          <w:tcPr>
            <w:tcW w:w="3258" w:type="dxa"/>
            <w:tcBorders>
              <w:top w:val="nil"/>
              <w:left w:val="single" w:sz="4" w:space="0" w:color="auto"/>
              <w:bottom w:val="nil"/>
              <w:right w:val="single" w:sz="4" w:space="0" w:color="auto"/>
            </w:tcBorders>
            <w:shd w:val="clear" w:color="auto" w:fill="auto"/>
            <w:vAlign w:val="center"/>
          </w:tcPr>
          <w:p w14:paraId="31B62E3F" w14:textId="77777777" w:rsidR="00C148F7" w:rsidRPr="00DF7CD3" w:rsidRDefault="00C148F7" w:rsidP="00C148F7">
            <w:pPr>
              <w:rPr>
                <w:rFonts w:ascii="Arial" w:hAnsi="Arial" w:cs="Arial"/>
                <w:b/>
                <w:color w:val="000000"/>
                <w:sz w:val="20"/>
                <w:szCs w:val="16"/>
              </w:rPr>
            </w:pPr>
            <w:r>
              <w:rPr>
                <w:rFonts w:ascii="Arial" w:hAnsi="Arial" w:cs="Arial"/>
                <w:b/>
                <w:color w:val="000000"/>
                <w:sz w:val="20"/>
                <w:szCs w:val="16"/>
              </w:rPr>
              <w:t>Process Outcomes</w:t>
            </w:r>
          </w:p>
        </w:tc>
        <w:tc>
          <w:tcPr>
            <w:tcW w:w="1530" w:type="dxa"/>
            <w:tcBorders>
              <w:top w:val="nil"/>
              <w:left w:val="single" w:sz="4" w:space="0" w:color="auto"/>
              <w:bottom w:val="nil"/>
              <w:right w:val="nil"/>
            </w:tcBorders>
            <w:shd w:val="clear" w:color="auto" w:fill="auto"/>
            <w:vAlign w:val="center"/>
          </w:tcPr>
          <w:p w14:paraId="3518F2A4" w14:textId="77777777" w:rsidR="00C148F7" w:rsidRPr="00DF7CD3" w:rsidRDefault="00C148F7" w:rsidP="00C148F7">
            <w:pPr>
              <w:jc w:val="center"/>
              <w:rPr>
                <w:rFonts w:ascii="Arial" w:hAnsi="Arial" w:cs="Arial"/>
                <w:color w:val="000000"/>
                <w:sz w:val="20"/>
                <w:szCs w:val="16"/>
              </w:rPr>
            </w:pPr>
          </w:p>
        </w:tc>
        <w:tc>
          <w:tcPr>
            <w:tcW w:w="1530" w:type="dxa"/>
            <w:tcBorders>
              <w:top w:val="nil"/>
              <w:left w:val="nil"/>
              <w:bottom w:val="nil"/>
              <w:right w:val="nil"/>
            </w:tcBorders>
            <w:shd w:val="clear" w:color="auto" w:fill="auto"/>
            <w:vAlign w:val="center"/>
          </w:tcPr>
          <w:p w14:paraId="1921498F" w14:textId="77777777" w:rsidR="00C148F7" w:rsidRPr="00DF7CD3" w:rsidRDefault="00C148F7" w:rsidP="00C148F7">
            <w:pPr>
              <w:jc w:val="center"/>
              <w:rPr>
                <w:rFonts w:ascii="Arial" w:hAnsi="Arial" w:cs="Arial"/>
                <w:color w:val="000000"/>
                <w:sz w:val="20"/>
                <w:szCs w:val="16"/>
              </w:rPr>
            </w:pPr>
          </w:p>
        </w:tc>
        <w:tc>
          <w:tcPr>
            <w:tcW w:w="1530" w:type="dxa"/>
            <w:tcBorders>
              <w:top w:val="nil"/>
              <w:left w:val="nil"/>
              <w:bottom w:val="nil"/>
              <w:right w:val="single" w:sz="4" w:space="0" w:color="auto"/>
            </w:tcBorders>
            <w:shd w:val="clear" w:color="auto" w:fill="auto"/>
            <w:vAlign w:val="center"/>
          </w:tcPr>
          <w:p w14:paraId="2D0FAD78" w14:textId="77777777" w:rsidR="00C148F7" w:rsidRPr="00DF7CD3" w:rsidRDefault="00C148F7" w:rsidP="00C148F7">
            <w:pPr>
              <w:jc w:val="center"/>
              <w:rPr>
                <w:rFonts w:ascii="Arial" w:hAnsi="Arial" w:cs="Arial"/>
                <w:color w:val="000000"/>
                <w:sz w:val="20"/>
                <w:szCs w:val="16"/>
              </w:rPr>
            </w:pPr>
          </w:p>
        </w:tc>
        <w:tc>
          <w:tcPr>
            <w:tcW w:w="1620" w:type="dxa"/>
            <w:tcBorders>
              <w:top w:val="nil"/>
              <w:left w:val="nil"/>
              <w:bottom w:val="nil"/>
            </w:tcBorders>
            <w:vAlign w:val="center"/>
          </w:tcPr>
          <w:p w14:paraId="4D7EA91D" w14:textId="77777777" w:rsidR="00C148F7" w:rsidRPr="00473334" w:rsidRDefault="00C148F7" w:rsidP="00C148F7">
            <w:pPr>
              <w:jc w:val="center"/>
              <w:rPr>
                <w:rFonts w:ascii="Arial" w:hAnsi="Arial" w:cs="Arial"/>
                <w:color w:val="000000"/>
                <w:sz w:val="20"/>
                <w:szCs w:val="20"/>
              </w:rPr>
            </w:pPr>
          </w:p>
        </w:tc>
        <w:tc>
          <w:tcPr>
            <w:tcW w:w="1548" w:type="dxa"/>
            <w:tcBorders>
              <w:top w:val="nil"/>
              <w:bottom w:val="nil"/>
              <w:right w:val="single" w:sz="4" w:space="0" w:color="auto"/>
            </w:tcBorders>
            <w:vAlign w:val="center"/>
          </w:tcPr>
          <w:p w14:paraId="0F2A932E" w14:textId="77777777" w:rsidR="00C148F7" w:rsidRPr="00473334" w:rsidRDefault="00C148F7" w:rsidP="00C148F7">
            <w:pPr>
              <w:jc w:val="center"/>
              <w:rPr>
                <w:rFonts w:ascii="Arial" w:hAnsi="Arial" w:cs="Arial"/>
                <w:color w:val="000000"/>
                <w:sz w:val="20"/>
                <w:szCs w:val="20"/>
              </w:rPr>
            </w:pPr>
          </w:p>
        </w:tc>
      </w:tr>
      <w:tr w:rsidR="00C148F7" w:rsidRPr="00701584" w14:paraId="1C00F61B"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61401D5F"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 xml:space="preserve">Full </w:t>
            </w:r>
            <w:r>
              <w:rPr>
                <w:rFonts w:ascii="Arial" w:hAnsi="Arial" w:cs="Arial"/>
                <w:color w:val="000000" w:themeColor="text1"/>
                <w:sz w:val="20"/>
                <w:szCs w:val="16"/>
              </w:rPr>
              <w:t>3h-b</w:t>
            </w:r>
            <w:r w:rsidRPr="001F33D0">
              <w:rPr>
                <w:rFonts w:ascii="Arial" w:hAnsi="Arial" w:cs="Arial"/>
                <w:color w:val="000000" w:themeColor="text1"/>
                <w:sz w:val="20"/>
                <w:szCs w:val="16"/>
              </w:rPr>
              <w:t xml:space="preserve">undle </w:t>
            </w:r>
            <w:r>
              <w:rPr>
                <w:rFonts w:ascii="Arial" w:hAnsi="Arial" w:cs="Arial"/>
                <w:color w:val="000000" w:themeColor="text1"/>
                <w:sz w:val="20"/>
                <w:szCs w:val="16"/>
              </w:rPr>
              <w:t>c</w:t>
            </w:r>
            <w:r w:rsidRPr="001F33D0">
              <w:rPr>
                <w:rFonts w:ascii="Arial" w:hAnsi="Arial" w:cs="Arial"/>
                <w:color w:val="000000" w:themeColor="text1"/>
                <w:sz w:val="20"/>
                <w:szCs w:val="16"/>
              </w:rPr>
              <w:t>ompliance</w:t>
            </w:r>
            <w:r>
              <w:rPr>
                <w:rFonts w:ascii="Arial" w:hAnsi="Arial" w:cs="Arial"/>
                <w:color w:val="000000" w:themeColor="text1"/>
                <w:sz w:val="20"/>
                <w:szCs w:val="16"/>
              </w:rPr>
              <w:t xml:space="preserve"> (local)</w:t>
            </w:r>
          </w:p>
        </w:tc>
        <w:tc>
          <w:tcPr>
            <w:tcW w:w="1530" w:type="dxa"/>
            <w:tcBorders>
              <w:top w:val="nil"/>
              <w:left w:val="single" w:sz="4" w:space="0" w:color="auto"/>
              <w:bottom w:val="nil"/>
              <w:right w:val="nil"/>
            </w:tcBorders>
            <w:shd w:val="clear" w:color="auto" w:fill="auto"/>
            <w:vAlign w:val="center"/>
          </w:tcPr>
          <w:p w14:paraId="73B3A531"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3,056 (27.3%)</w:t>
            </w:r>
          </w:p>
        </w:tc>
        <w:tc>
          <w:tcPr>
            <w:tcW w:w="1530" w:type="dxa"/>
            <w:tcBorders>
              <w:top w:val="nil"/>
              <w:left w:val="nil"/>
              <w:bottom w:val="nil"/>
              <w:right w:val="nil"/>
            </w:tcBorders>
            <w:shd w:val="clear" w:color="auto" w:fill="auto"/>
            <w:vAlign w:val="center"/>
          </w:tcPr>
          <w:p w14:paraId="4DD54747"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2,696 (31.1%)</w:t>
            </w:r>
          </w:p>
        </w:tc>
        <w:tc>
          <w:tcPr>
            <w:tcW w:w="1530" w:type="dxa"/>
            <w:tcBorders>
              <w:top w:val="nil"/>
              <w:left w:val="nil"/>
              <w:bottom w:val="nil"/>
              <w:right w:val="single" w:sz="4" w:space="0" w:color="auto"/>
            </w:tcBorders>
            <w:shd w:val="clear" w:color="auto" w:fill="auto"/>
            <w:vAlign w:val="center"/>
          </w:tcPr>
          <w:p w14:paraId="0A1C6003"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360 (14.3%)</w:t>
            </w:r>
          </w:p>
        </w:tc>
        <w:tc>
          <w:tcPr>
            <w:tcW w:w="1620" w:type="dxa"/>
            <w:tcBorders>
              <w:top w:val="nil"/>
              <w:left w:val="nil"/>
              <w:bottom w:val="nil"/>
            </w:tcBorders>
          </w:tcPr>
          <w:p w14:paraId="7D9C182C" w14:textId="77777777" w:rsidR="00C148F7" w:rsidRPr="00D24CD2" w:rsidRDefault="00C148F7" w:rsidP="00C148F7">
            <w:pPr>
              <w:jc w:val="center"/>
              <w:rPr>
                <w:rFonts w:ascii="Arial" w:hAnsi="Arial" w:cs="Arial"/>
                <w:color w:val="000000" w:themeColor="text1"/>
                <w:sz w:val="20"/>
                <w:szCs w:val="20"/>
              </w:rPr>
            </w:pPr>
            <w:r w:rsidRPr="00D24CD2">
              <w:rPr>
                <w:rFonts w:ascii="Arial" w:hAnsi="Arial" w:cs="Arial"/>
                <w:color w:val="000000" w:themeColor="text1"/>
                <w:sz w:val="20"/>
                <w:szCs w:val="20"/>
              </w:rPr>
              <w:t>588 (30.3%)</w:t>
            </w:r>
          </w:p>
        </w:tc>
        <w:tc>
          <w:tcPr>
            <w:tcW w:w="1548" w:type="dxa"/>
            <w:tcBorders>
              <w:top w:val="nil"/>
              <w:bottom w:val="nil"/>
              <w:right w:val="single" w:sz="4" w:space="0" w:color="auto"/>
            </w:tcBorders>
          </w:tcPr>
          <w:p w14:paraId="68583BF4" w14:textId="77777777" w:rsidR="00C148F7" w:rsidRPr="00D24CD2" w:rsidRDefault="00C148F7" w:rsidP="00C148F7">
            <w:pPr>
              <w:jc w:val="center"/>
              <w:rPr>
                <w:rFonts w:ascii="Arial" w:hAnsi="Arial" w:cs="Arial"/>
                <w:color w:val="000000" w:themeColor="text1"/>
                <w:sz w:val="20"/>
                <w:szCs w:val="20"/>
              </w:rPr>
            </w:pPr>
            <w:r w:rsidRPr="00D24CD2">
              <w:rPr>
                <w:rFonts w:ascii="Arial" w:hAnsi="Arial" w:cs="Arial"/>
                <w:color w:val="000000" w:themeColor="text1"/>
                <w:sz w:val="20"/>
                <w:szCs w:val="20"/>
              </w:rPr>
              <w:t>330 (17.0%)</w:t>
            </w:r>
          </w:p>
        </w:tc>
      </w:tr>
      <w:tr w:rsidR="00C148F7" w:rsidRPr="00701584" w14:paraId="3E30AD6C"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6BEE23F3"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 xml:space="preserve">Full </w:t>
            </w:r>
            <w:r>
              <w:rPr>
                <w:rFonts w:ascii="Arial" w:hAnsi="Arial" w:cs="Arial"/>
                <w:color w:val="000000" w:themeColor="text1"/>
                <w:sz w:val="20"/>
                <w:szCs w:val="16"/>
              </w:rPr>
              <w:t>3h-bundle c</w:t>
            </w:r>
            <w:r w:rsidRPr="001F33D0">
              <w:rPr>
                <w:rFonts w:ascii="Arial" w:hAnsi="Arial" w:cs="Arial"/>
                <w:color w:val="000000" w:themeColor="text1"/>
                <w:sz w:val="20"/>
                <w:szCs w:val="16"/>
              </w:rPr>
              <w:t>ompliance</w:t>
            </w:r>
            <w:r>
              <w:rPr>
                <w:rFonts w:ascii="Arial" w:hAnsi="Arial" w:cs="Arial"/>
                <w:color w:val="000000" w:themeColor="text1"/>
                <w:sz w:val="20"/>
                <w:szCs w:val="16"/>
              </w:rPr>
              <w:t xml:space="preserve"> (SSC)</w:t>
            </w:r>
          </w:p>
        </w:tc>
        <w:tc>
          <w:tcPr>
            <w:tcW w:w="1530" w:type="dxa"/>
            <w:tcBorders>
              <w:top w:val="nil"/>
              <w:left w:val="single" w:sz="4" w:space="0" w:color="auto"/>
              <w:bottom w:val="nil"/>
              <w:right w:val="nil"/>
            </w:tcBorders>
            <w:shd w:val="clear" w:color="auto" w:fill="auto"/>
            <w:vAlign w:val="center"/>
          </w:tcPr>
          <w:p w14:paraId="29E61FAF"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5,854 (52.4%)</w:t>
            </w:r>
          </w:p>
        </w:tc>
        <w:tc>
          <w:tcPr>
            <w:tcW w:w="1530" w:type="dxa"/>
            <w:tcBorders>
              <w:top w:val="nil"/>
              <w:left w:val="nil"/>
              <w:bottom w:val="nil"/>
              <w:right w:val="nil"/>
            </w:tcBorders>
            <w:shd w:val="clear" w:color="auto" w:fill="auto"/>
            <w:vAlign w:val="center"/>
          </w:tcPr>
          <w:p w14:paraId="7C5A4088"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5,127 (59.1%)</w:t>
            </w:r>
          </w:p>
        </w:tc>
        <w:tc>
          <w:tcPr>
            <w:tcW w:w="1530" w:type="dxa"/>
            <w:tcBorders>
              <w:top w:val="nil"/>
              <w:left w:val="nil"/>
              <w:bottom w:val="nil"/>
              <w:right w:val="single" w:sz="4" w:space="0" w:color="auto"/>
            </w:tcBorders>
            <w:shd w:val="clear" w:color="auto" w:fill="auto"/>
            <w:vAlign w:val="center"/>
          </w:tcPr>
          <w:p w14:paraId="2D6A97F2"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727 (29.0%)</w:t>
            </w:r>
          </w:p>
        </w:tc>
        <w:tc>
          <w:tcPr>
            <w:tcW w:w="1620" w:type="dxa"/>
            <w:tcBorders>
              <w:top w:val="nil"/>
              <w:left w:val="nil"/>
              <w:bottom w:val="nil"/>
            </w:tcBorders>
          </w:tcPr>
          <w:p w14:paraId="6D53E02D"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1,114 (57.4%)</w:t>
            </w:r>
          </w:p>
        </w:tc>
        <w:tc>
          <w:tcPr>
            <w:tcW w:w="1548" w:type="dxa"/>
            <w:tcBorders>
              <w:top w:val="nil"/>
              <w:bottom w:val="nil"/>
              <w:right w:val="single" w:sz="4" w:space="0" w:color="auto"/>
            </w:tcBorders>
          </w:tcPr>
          <w:p w14:paraId="45CC0034"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591 (30.4%)</w:t>
            </w:r>
          </w:p>
        </w:tc>
      </w:tr>
      <w:tr w:rsidR="00C148F7" w:rsidRPr="00701584" w14:paraId="51017811"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6C79DC9A" w14:textId="77777777" w:rsidR="00C148F7" w:rsidRPr="001F33D0" w:rsidRDefault="00C148F7" w:rsidP="00C148F7">
            <w:pPr>
              <w:rPr>
                <w:rFonts w:ascii="Arial" w:hAnsi="Arial" w:cs="Arial"/>
                <w:color w:val="000000" w:themeColor="text1"/>
                <w:sz w:val="20"/>
                <w:szCs w:val="16"/>
              </w:rPr>
            </w:pPr>
            <w:r>
              <w:rPr>
                <w:rFonts w:ascii="Arial" w:hAnsi="Arial" w:cs="Arial"/>
                <w:color w:val="000000" w:themeColor="text1"/>
                <w:sz w:val="20"/>
                <w:szCs w:val="16"/>
              </w:rPr>
              <w:t xml:space="preserve">Antibiotics within 1 </w:t>
            </w:r>
            <w:r w:rsidRPr="001F33D0">
              <w:rPr>
                <w:rFonts w:ascii="Arial" w:hAnsi="Arial" w:cs="Arial"/>
                <w:color w:val="000000" w:themeColor="text1"/>
                <w:sz w:val="20"/>
                <w:szCs w:val="16"/>
              </w:rPr>
              <w:t>h</w:t>
            </w:r>
          </w:p>
        </w:tc>
        <w:tc>
          <w:tcPr>
            <w:tcW w:w="1530" w:type="dxa"/>
            <w:tcBorders>
              <w:top w:val="nil"/>
              <w:left w:val="single" w:sz="4" w:space="0" w:color="auto"/>
              <w:bottom w:val="nil"/>
              <w:right w:val="nil"/>
            </w:tcBorders>
            <w:shd w:val="clear" w:color="auto" w:fill="auto"/>
            <w:vAlign w:val="center"/>
          </w:tcPr>
          <w:p w14:paraId="1A10EE05"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5,399 (48.3%)</w:t>
            </w:r>
          </w:p>
        </w:tc>
        <w:tc>
          <w:tcPr>
            <w:tcW w:w="1530" w:type="dxa"/>
            <w:tcBorders>
              <w:top w:val="nil"/>
              <w:left w:val="nil"/>
              <w:bottom w:val="nil"/>
              <w:right w:val="nil"/>
            </w:tcBorders>
            <w:shd w:val="clear" w:color="auto" w:fill="auto"/>
            <w:vAlign w:val="center"/>
          </w:tcPr>
          <w:p w14:paraId="1687E2DA"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4,317 (49.8%)</w:t>
            </w:r>
          </w:p>
        </w:tc>
        <w:tc>
          <w:tcPr>
            <w:tcW w:w="1530" w:type="dxa"/>
            <w:tcBorders>
              <w:top w:val="nil"/>
              <w:left w:val="nil"/>
              <w:bottom w:val="nil"/>
              <w:right w:val="single" w:sz="4" w:space="0" w:color="auto"/>
            </w:tcBorders>
            <w:shd w:val="clear" w:color="auto" w:fill="auto"/>
            <w:vAlign w:val="center"/>
          </w:tcPr>
          <w:p w14:paraId="76167F09"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1,082 (43.1%)</w:t>
            </w:r>
          </w:p>
        </w:tc>
        <w:tc>
          <w:tcPr>
            <w:tcW w:w="1620" w:type="dxa"/>
            <w:tcBorders>
              <w:top w:val="nil"/>
              <w:left w:val="nil"/>
              <w:bottom w:val="nil"/>
            </w:tcBorders>
            <w:vAlign w:val="center"/>
          </w:tcPr>
          <w:p w14:paraId="5814852A"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935 (48.1%)</w:t>
            </w:r>
          </w:p>
        </w:tc>
        <w:tc>
          <w:tcPr>
            <w:tcW w:w="1548" w:type="dxa"/>
            <w:tcBorders>
              <w:top w:val="nil"/>
              <w:bottom w:val="nil"/>
              <w:right w:val="single" w:sz="4" w:space="0" w:color="auto"/>
            </w:tcBorders>
            <w:vAlign w:val="center"/>
          </w:tcPr>
          <w:p w14:paraId="264570B4"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879 (45.3%)</w:t>
            </w:r>
          </w:p>
        </w:tc>
      </w:tr>
      <w:tr w:rsidR="00C148F7" w:rsidRPr="00701584" w14:paraId="5A3BD0E8"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4067F360" w14:textId="77777777" w:rsidR="00C148F7" w:rsidRPr="001F33D0" w:rsidRDefault="00C148F7" w:rsidP="00C148F7">
            <w:pPr>
              <w:rPr>
                <w:rFonts w:ascii="Arial" w:hAnsi="Arial" w:cs="Arial"/>
                <w:color w:val="000000" w:themeColor="text1"/>
                <w:sz w:val="20"/>
                <w:szCs w:val="16"/>
              </w:rPr>
            </w:pPr>
            <w:r>
              <w:rPr>
                <w:rFonts w:ascii="Arial" w:hAnsi="Arial" w:cs="Arial"/>
                <w:color w:val="000000" w:themeColor="text1"/>
                <w:sz w:val="20"/>
                <w:szCs w:val="16"/>
              </w:rPr>
              <w:t xml:space="preserve">Antibiotics within 3 </w:t>
            </w:r>
            <w:r w:rsidRPr="001F33D0">
              <w:rPr>
                <w:rFonts w:ascii="Arial" w:hAnsi="Arial" w:cs="Arial"/>
                <w:color w:val="000000" w:themeColor="text1"/>
                <w:sz w:val="20"/>
                <w:szCs w:val="16"/>
              </w:rPr>
              <w:t>h</w:t>
            </w:r>
          </w:p>
        </w:tc>
        <w:tc>
          <w:tcPr>
            <w:tcW w:w="1530" w:type="dxa"/>
            <w:tcBorders>
              <w:top w:val="nil"/>
              <w:left w:val="single" w:sz="4" w:space="0" w:color="auto"/>
              <w:bottom w:val="nil"/>
              <w:right w:val="nil"/>
            </w:tcBorders>
            <w:shd w:val="clear" w:color="auto" w:fill="auto"/>
            <w:vAlign w:val="center"/>
          </w:tcPr>
          <w:p w14:paraId="6EF0837D"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9,040 (80.8%)</w:t>
            </w:r>
          </w:p>
        </w:tc>
        <w:tc>
          <w:tcPr>
            <w:tcW w:w="1530" w:type="dxa"/>
            <w:tcBorders>
              <w:top w:val="nil"/>
              <w:left w:val="nil"/>
              <w:bottom w:val="nil"/>
              <w:right w:val="nil"/>
            </w:tcBorders>
            <w:shd w:val="clear" w:color="auto" w:fill="auto"/>
            <w:vAlign w:val="center"/>
          </w:tcPr>
          <w:p w14:paraId="1BF1358B"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7,437 (85.7%)</w:t>
            </w:r>
          </w:p>
        </w:tc>
        <w:tc>
          <w:tcPr>
            <w:tcW w:w="1530" w:type="dxa"/>
            <w:tcBorders>
              <w:top w:val="nil"/>
              <w:left w:val="nil"/>
              <w:bottom w:val="nil"/>
              <w:right w:val="single" w:sz="4" w:space="0" w:color="auto"/>
            </w:tcBorders>
            <w:shd w:val="clear" w:color="auto" w:fill="auto"/>
            <w:vAlign w:val="center"/>
          </w:tcPr>
          <w:p w14:paraId="0F9FD4F7"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1,603 (63.9%)</w:t>
            </w:r>
          </w:p>
        </w:tc>
        <w:tc>
          <w:tcPr>
            <w:tcW w:w="1620" w:type="dxa"/>
            <w:tcBorders>
              <w:top w:val="nil"/>
              <w:left w:val="nil"/>
              <w:bottom w:val="nil"/>
            </w:tcBorders>
          </w:tcPr>
          <w:p w14:paraId="01B9B571" w14:textId="77777777" w:rsidR="00C148F7" w:rsidRPr="00D24CD2" w:rsidRDefault="00C148F7" w:rsidP="00C148F7">
            <w:pPr>
              <w:jc w:val="center"/>
              <w:rPr>
                <w:rFonts w:ascii="Arial" w:hAnsi="Arial" w:cs="Arial"/>
                <w:color w:val="000000" w:themeColor="text1"/>
                <w:sz w:val="20"/>
                <w:szCs w:val="20"/>
              </w:rPr>
            </w:pPr>
            <w:r w:rsidRPr="00D24CD2">
              <w:rPr>
                <w:rFonts w:ascii="Arial" w:hAnsi="Arial" w:cs="Arial"/>
                <w:color w:val="000000" w:themeColor="text1"/>
                <w:sz w:val="20"/>
                <w:szCs w:val="20"/>
              </w:rPr>
              <w:t>1</w:t>
            </w:r>
            <w:r>
              <w:rPr>
                <w:rFonts w:ascii="Arial" w:hAnsi="Arial" w:cs="Arial"/>
                <w:color w:val="000000" w:themeColor="text1"/>
                <w:sz w:val="20"/>
                <w:szCs w:val="20"/>
              </w:rPr>
              <w:t>,628</w:t>
            </w:r>
            <w:r w:rsidRPr="00D24CD2">
              <w:rPr>
                <w:rFonts w:ascii="Arial" w:hAnsi="Arial" w:cs="Arial"/>
                <w:color w:val="000000" w:themeColor="text1"/>
                <w:sz w:val="20"/>
                <w:szCs w:val="20"/>
              </w:rPr>
              <w:t xml:space="preserve"> (</w:t>
            </w:r>
            <w:r>
              <w:rPr>
                <w:rFonts w:ascii="Arial" w:hAnsi="Arial" w:cs="Arial"/>
                <w:color w:val="000000" w:themeColor="text1"/>
                <w:sz w:val="20"/>
                <w:szCs w:val="20"/>
              </w:rPr>
              <w:t>83</w:t>
            </w:r>
            <w:r w:rsidRPr="00D24CD2">
              <w:rPr>
                <w:rFonts w:ascii="Arial" w:hAnsi="Arial" w:cs="Arial"/>
                <w:color w:val="000000" w:themeColor="text1"/>
                <w:sz w:val="20"/>
                <w:szCs w:val="20"/>
              </w:rPr>
              <w:t>.</w:t>
            </w:r>
            <w:r>
              <w:rPr>
                <w:rFonts w:ascii="Arial" w:hAnsi="Arial" w:cs="Arial"/>
                <w:color w:val="000000" w:themeColor="text1"/>
                <w:sz w:val="20"/>
                <w:szCs w:val="20"/>
              </w:rPr>
              <w:t>8</w:t>
            </w:r>
            <w:r w:rsidRPr="00D24CD2">
              <w:rPr>
                <w:rFonts w:ascii="Arial" w:hAnsi="Arial" w:cs="Arial"/>
                <w:color w:val="000000" w:themeColor="text1"/>
                <w:sz w:val="20"/>
                <w:szCs w:val="20"/>
              </w:rPr>
              <w:t>%)</w:t>
            </w:r>
          </w:p>
        </w:tc>
        <w:tc>
          <w:tcPr>
            <w:tcW w:w="1548" w:type="dxa"/>
            <w:tcBorders>
              <w:top w:val="nil"/>
              <w:bottom w:val="nil"/>
              <w:right w:val="single" w:sz="4" w:space="0" w:color="auto"/>
            </w:tcBorders>
          </w:tcPr>
          <w:p w14:paraId="4C725BE2" w14:textId="77777777" w:rsidR="00C148F7" w:rsidRPr="00D24CD2" w:rsidRDefault="00C148F7" w:rsidP="00C148F7">
            <w:pPr>
              <w:jc w:val="center"/>
              <w:rPr>
                <w:rFonts w:ascii="Arial" w:hAnsi="Arial" w:cs="Arial"/>
                <w:color w:val="000000" w:themeColor="text1"/>
                <w:sz w:val="20"/>
                <w:szCs w:val="20"/>
              </w:rPr>
            </w:pPr>
            <w:r w:rsidRPr="00D24CD2">
              <w:rPr>
                <w:rFonts w:ascii="Arial" w:hAnsi="Arial" w:cs="Arial"/>
                <w:color w:val="000000" w:themeColor="text1"/>
                <w:sz w:val="20"/>
                <w:szCs w:val="20"/>
              </w:rPr>
              <w:t>1</w:t>
            </w:r>
            <w:r>
              <w:rPr>
                <w:rFonts w:ascii="Arial" w:hAnsi="Arial" w:cs="Arial"/>
                <w:color w:val="000000" w:themeColor="text1"/>
                <w:sz w:val="20"/>
                <w:szCs w:val="20"/>
              </w:rPr>
              <w:t>,285</w:t>
            </w:r>
            <w:r w:rsidRPr="00D24CD2">
              <w:rPr>
                <w:rFonts w:ascii="Arial" w:hAnsi="Arial" w:cs="Arial"/>
                <w:color w:val="000000" w:themeColor="text1"/>
                <w:sz w:val="20"/>
                <w:szCs w:val="20"/>
              </w:rPr>
              <w:t xml:space="preserve"> (</w:t>
            </w:r>
            <w:r>
              <w:rPr>
                <w:rFonts w:ascii="Arial" w:hAnsi="Arial" w:cs="Arial"/>
                <w:color w:val="000000" w:themeColor="text1"/>
                <w:sz w:val="20"/>
                <w:szCs w:val="20"/>
              </w:rPr>
              <w:t>66</w:t>
            </w:r>
            <w:r w:rsidRPr="00D24CD2">
              <w:rPr>
                <w:rFonts w:ascii="Arial" w:hAnsi="Arial" w:cs="Arial"/>
                <w:color w:val="000000" w:themeColor="text1"/>
                <w:sz w:val="20"/>
                <w:szCs w:val="20"/>
              </w:rPr>
              <w:t>.</w:t>
            </w:r>
            <w:r>
              <w:rPr>
                <w:rFonts w:ascii="Arial" w:hAnsi="Arial" w:cs="Arial"/>
                <w:color w:val="000000" w:themeColor="text1"/>
                <w:sz w:val="20"/>
                <w:szCs w:val="20"/>
              </w:rPr>
              <w:t>2</w:t>
            </w:r>
            <w:r w:rsidRPr="00D24CD2">
              <w:rPr>
                <w:rFonts w:ascii="Arial" w:hAnsi="Arial" w:cs="Arial"/>
                <w:color w:val="000000" w:themeColor="text1"/>
                <w:sz w:val="20"/>
                <w:szCs w:val="20"/>
              </w:rPr>
              <w:t>%)</w:t>
            </w:r>
          </w:p>
        </w:tc>
      </w:tr>
      <w:tr w:rsidR="00C148F7" w:rsidRPr="00701584" w14:paraId="5DC3245D"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43CA4306" w14:textId="77777777" w:rsidR="00C148F7" w:rsidRDefault="00C148F7" w:rsidP="00C148F7">
            <w:pPr>
              <w:rPr>
                <w:rFonts w:ascii="Arial" w:hAnsi="Arial" w:cs="Arial"/>
                <w:color w:val="000000" w:themeColor="text1"/>
                <w:sz w:val="20"/>
                <w:szCs w:val="16"/>
              </w:rPr>
            </w:pPr>
            <w:r>
              <w:rPr>
                <w:rFonts w:ascii="Arial" w:hAnsi="Arial" w:cs="Arial"/>
                <w:color w:val="000000" w:themeColor="text1"/>
                <w:sz w:val="20"/>
                <w:szCs w:val="16"/>
              </w:rPr>
              <w:t xml:space="preserve">Antibiotics within 6 </w:t>
            </w:r>
            <w:r w:rsidRPr="001F33D0">
              <w:rPr>
                <w:rFonts w:ascii="Arial" w:hAnsi="Arial" w:cs="Arial"/>
                <w:color w:val="000000" w:themeColor="text1"/>
                <w:sz w:val="20"/>
                <w:szCs w:val="16"/>
              </w:rPr>
              <w:t>h</w:t>
            </w:r>
          </w:p>
        </w:tc>
        <w:tc>
          <w:tcPr>
            <w:tcW w:w="1530" w:type="dxa"/>
            <w:tcBorders>
              <w:top w:val="nil"/>
              <w:left w:val="single" w:sz="4" w:space="0" w:color="auto"/>
              <w:bottom w:val="nil"/>
              <w:right w:val="nil"/>
            </w:tcBorders>
            <w:shd w:val="clear" w:color="auto" w:fill="auto"/>
            <w:vAlign w:val="center"/>
          </w:tcPr>
          <w:p w14:paraId="417A28DA"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9,987 (89.3%)</w:t>
            </w:r>
          </w:p>
        </w:tc>
        <w:tc>
          <w:tcPr>
            <w:tcW w:w="1530" w:type="dxa"/>
            <w:tcBorders>
              <w:top w:val="nil"/>
              <w:left w:val="nil"/>
              <w:bottom w:val="nil"/>
              <w:right w:val="nil"/>
            </w:tcBorders>
            <w:shd w:val="clear" w:color="auto" w:fill="auto"/>
            <w:vAlign w:val="center"/>
          </w:tcPr>
          <w:p w14:paraId="067E0DB6"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8,111 (93.5%)</w:t>
            </w:r>
          </w:p>
        </w:tc>
        <w:tc>
          <w:tcPr>
            <w:tcW w:w="1530" w:type="dxa"/>
            <w:tcBorders>
              <w:top w:val="nil"/>
              <w:left w:val="nil"/>
              <w:bottom w:val="nil"/>
              <w:right w:val="single" w:sz="4" w:space="0" w:color="auto"/>
            </w:tcBorders>
            <w:shd w:val="clear" w:color="auto" w:fill="auto"/>
            <w:vAlign w:val="center"/>
          </w:tcPr>
          <w:p w14:paraId="2CE0C2C7"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1,876 (74.8%)</w:t>
            </w:r>
          </w:p>
        </w:tc>
        <w:tc>
          <w:tcPr>
            <w:tcW w:w="1620" w:type="dxa"/>
            <w:tcBorders>
              <w:top w:val="nil"/>
              <w:left w:val="nil"/>
              <w:bottom w:val="nil"/>
            </w:tcBorders>
          </w:tcPr>
          <w:p w14:paraId="459D26F5"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1,796 (92.5%)</w:t>
            </w:r>
          </w:p>
        </w:tc>
        <w:tc>
          <w:tcPr>
            <w:tcW w:w="1548" w:type="dxa"/>
            <w:tcBorders>
              <w:top w:val="nil"/>
              <w:bottom w:val="nil"/>
              <w:right w:val="single" w:sz="4" w:space="0" w:color="auto"/>
            </w:tcBorders>
          </w:tcPr>
          <w:p w14:paraId="38EC569A"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1,496 (77.0%)</w:t>
            </w:r>
          </w:p>
        </w:tc>
      </w:tr>
      <w:tr w:rsidR="00C148F7" w:rsidRPr="00701584" w14:paraId="57323CB5"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2256FC7F" w14:textId="77777777" w:rsidR="00C148F7" w:rsidRPr="001F33D0" w:rsidRDefault="00C148F7" w:rsidP="00C148F7">
            <w:pPr>
              <w:rPr>
                <w:rFonts w:ascii="Arial" w:hAnsi="Arial" w:cs="Arial"/>
                <w:color w:val="000000" w:themeColor="text1"/>
                <w:sz w:val="20"/>
                <w:szCs w:val="16"/>
              </w:rPr>
            </w:pPr>
            <w:r>
              <w:rPr>
                <w:rFonts w:ascii="Arial" w:hAnsi="Arial" w:cs="Arial"/>
                <w:color w:val="000000" w:themeColor="text1"/>
                <w:sz w:val="20"/>
                <w:szCs w:val="16"/>
              </w:rPr>
              <w:t>Time to Antibiotics-mean (SD)</w:t>
            </w:r>
          </w:p>
        </w:tc>
        <w:tc>
          <w:tcPr>
            <w:tcW w:w="1530" w:type="dxa"/>
            <w:tcBorders>
              <w:top w:val="nil"/>
              <w:left w:val="single" w:sz="4" w:space="0" w:color="auto"/>
              <w:bottom w:val="nil"/>
              <w:right w:val="nil"/>
            </w:tcBorders>
            <w:shd w:val="clear" w:color="auto" w:fill="auto"/>
            <w:vAlign w:val="center"/>
          </w:tcPr>
          <w:p w14:paraId="7E215F83"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91 (132)</w:t>
            </w:r>
          </w:p>
        </w:tc>
        <w:tc>
          <w:tcPr>
            <w:tcW w:w="1530" w:type="dxa"/>
            <w:tcBorders>
              <w:top w:val="nil"/>
              <w:left w:val="nil"/>
              <w:bottom w:val="nil"/>
              <w:right w:val="nil"/>
            </w:tcBorders>
            <w:shd w:val="clear" w:color="auto" w:fill="auto"/>
            <w:vAlign w:val="center"/>
          </w:tcPr>
          <w:p w14:paraId="615A1A73"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83 (110)</w:t>
            </w:r>
          </w:p>
        </w:tc>
        <w:tc>
          <w:tcPr>
            <w:tcW w:w="1530" w:type="dxa"/>
            <w:tcBorders>
              <w:top w:val="nil"/>
              <w:left w:val="nil"/>
              <w:bottom w:val="nil"/>
              <w:right w:val="single" w:sz="4" w:space="0" w:color="auto"/>
            </w:tcBorders>
            <w:shd w:val="clear" w:color="auto" w:fill="auto"/>
            <w:vAlign w:val="center"/>
          </w:tcPr>
          <w:p w14:paraId="58B5A357"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117 (187)</w:t>
            </w:r>
          </w:p>
        </w:tc>
        <w:tc>
          <w:tcPr>
            <w:tcW w:w="1620" w:type="dxa"/>
            <w:tcBorders>
              <w:top w:val="nil"/>
              <w:left w:val="nil"/>
              <w:bottom w:val="nil"/>
            </w:tcBorders>
          </w:tcPr>
          <w:p w14:paraId="4B481A38"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87 (115)</w:t>
            </w:r>
          </w:p>
        </w:tc>
        <w:tc>
          <w:tcPr>
            <w:tcW w:w="1548" w:type="dxa"/>
            <w:tcBorders>
              <w:top w:val="nil"/>
              <w:bottom w:val="nil"/>
              <w:right w:val="single" w:sz="4" w:space="0" w:color="auto"/>
            </w:tcBorders>
          </w:tcPr>
          <w:p w14:paraId="2822B97A" w14:textId="77777777" w:rsidR="00C148F7" w:rsidRPr="00D24CD2" w:rsidRDefault="00C148F7" w:rsidP="00C148F7">
            <w:pPr>
              <w:jc w:val="center"/>
              <w:rPr>
                <w:rFonts w:ascii="Arial" w:hAnsi="Arial" w:cs="Arial"/>
                <w:color w:val="000000" w:themeColor="text1"/>
                <w:sz w:val="20"/>
                <w:szCs w:val="20"/>
              </w:rPr>
            </w:pPr>
            <w:r>
              <w:rPr>
                <w:rFonts w:ascii="Arial" w:hAnsi="Arial" w:cs="Arial"/>
                <w:color w:val="000000" w:themeColor="text1"/>
                <w:sz w:val="20"/>
                <w:szCs w:val="20"/>
              </w:rPr>
              <w:t>108 (185)</w:t>
            </w:r>
          </w:p>
        </w:tc>
      </w:tr>
      <w:tr w:rsidR="00C148F7" w:rsidRPr="00701584" w14:paraId="2ED988EA"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3D4FDF38"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Blood Cultures Before Antibiotics</w:t>
            </w:r>
          </w:p>
        </w:tc>
        <w:tc>
          <w:tcPr>
            <w:tcW w:w="1530" w:type="dxa"/>
            <w:tcBorders>
              <w:top w:val="nil"/>
              <w:left w:val="single" w:sz="4" w:space="0" w:color="auto"/>
              <w:bottom w:val="nil"/>
              <w:right w:val="nil"/>
            </w:tcBorders>
            <w:shd w:val="clear" w:color="auto" w:fill="auto"/>
            <w:vAlign w:val="center"/>
          </w:tcPr>
          <w:p w14:paraId="3C333DA9"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7,350 (67.3%)</w:t>
            </w:r>
          </w:p>
        </w:tc>
        <w:tc>
          <w:tcPr>
            <w:tcW w:w="1530" w:type="dxa"/>
            <w:tcBorders>
              <w:top w:val="nil"/>
              <w:left w:val="nil"/>
              <w:bottom w:val="nil"/>
              <w:right w:val="nil"/>
            </w:tcBorders>
            <w:shd w:val="clear" w:color="auto" w:fill="auto"/>
            <w:vAlign w:val="center"/>
          </w:tcPr>
          <w:p w14:paraId="14D15FD4"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6,170 (71.1%)</w:t>
            </w:r>
          </w:p>
        </w:tc>
        <w:tc>
          <w:tcPr>
            <w:tcW w:w="1530" w:type="dxa"/>
            <w:tcBorders>
              <w:top w:val="nil"/>
              <w:left w:val="nil"/>
              <w:bottom w:val="nil"/>
              <w:right w:val="single" w:sz="4" w:space="0" w:color="auto"/>
            </w:tcBorders>
            <w:shd w:val="clear" w:color="auto" w:fill="auto"/>
            <w:vAlign w:val="center"/>
          </w:tcPr>
          <w:p w14:paraId="3F55FCEA"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1,360 (54.2%)</w:t>
            </w:r>
          </w:p>
        </w:tc>
        <w:tc>
          <w:tcPr>
            <w:tcW w:w="1620" w:type="dxa"/>
            <w:tcBorders>
              <w:top w:val="nil"/>
              <w:left w:val="nil"/>
              <w:bottom w:val="nil"/>
            </w:tcBorders>
            <w:vAlign w:val="center"/>
          </w:tcPr>
          <w:p w14:paraId="60D47FFD"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1,350 (69.5%)</w:t>
            </w:r>
          </w:p>
        </w:tc>
        <w:tc>
          <w:tcPr>
            <w:tcW w:w="1548" w:type="dxa"/>
            <w:tcBorders>
              <w:top w:val="nil"/>
              <w:bottom w:val="nil"/>
              <w:right w:val="single" w:sz="4" w:space="0" w:color="auto"/>
            </w:tcBorders>
            <w:vAlign w:val="center"/>
          </w:tcPr>
          <w:p w14:paraId="533EE4BA"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1,036 (53.3%)</w:t>
            </w:r>
          </w:p>
        </w:tc>
      </w:tr>
      <w:tr w:rsidR="00C148F7" w:rsidRPr="00701584" w14:paraId="423FA6A2"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6A664E93"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Fluids Initiated within 2</w:t>
            </w:r>
            <w:r>
              <w:rPr>
                <w:rFonts w:ascii="Arial" w:hAnsi="Arial" w:cs="Arial"/>
                <w:color w:val="000000" w:themeColor="text1"/>
                <w:sz w:val="20"/>
                <w:szCs w:val="16"/>
              </w:rPr>
              <w:t xml:space="preserve"> h</w:t>
            </w:r>
          </w:p>
        </w:tc>
        <w:tc>
          <w:tcPr>
            <w:tcW w:w="1530" w:type="dxa"/>
            <w:tcBorders>
              <w:top w:val="nil"/>
              <w:left w:val="single" w:sz="4" w:space="0" w:color="auto"/>
              <w:bottom w:val="nil"/>
              <w:right w:val="nil"/>
            </w:tcBorders>
            <w:shd w:val="clear" w:color="auto" w:fill="auto"/>
            <w:vAlign w:val="center"/>
          </w:tcPr>
          <w:p w14:paraId="71E147DF"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7,724 (69.1%)</w:t>
            </w:r>
          </w:p>
        </w:tc>
        <w:tc>
          <w:tcPr>
            <w:tcW w:w="1530" w:type="dxa"/>
            <w:tcBorders>
              <w:top w:val="nil"/>
              <w:left w:val="nil"/>
              <w:bottom w:val="nil"/>
              <w:right w:val="nil"/>
            </w:tcBorders>
            <w:shd w:val="clear" w:color="auto" w:fill="auto"/>
            <w:vAlign w:val="center"/>
          </w:tcPr>
          <w:p w14:paraId="6A8F3A7C"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6,774 (78.1%)</w:t>
            </w:r>
          </w:p>
        </w:tc>
        <w:tc>
          <w:tcPr>
            <w:tcW w:w="1530" w:type="dxa"/>
            <w:tcBorders>
              <w:top w:val="nil"/>
              <w:left w:val="nil"/>
              <w:bottom w:val="nil"/>
              <w:right w:val="single" w:sz="4" w:space="0" w:color="auto"/>
            </w:tcBorders>
            <w:shd w:val="clear" w:color="auto" w:fill="auto"/>
            <w:vAlign w:val="center"/>
          </w:tcPr>
          <w:p w14:paraId="13C38649"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950 (37.9%)</w:t>
            </w:r>
          </w:p>
        </w:tc>
        <w:tc>
          <w:tcPr>
            <w:tcW w:w="1620" w:type="dxa"/>
            <w:tcBorders>
              <w:top w:val="nil"/>
              <w:left w:val="nil"/>
              <w:bottom w:val="nil"/>
            </w:tcBorders>
            <w:vAlign w:val="center"/>
          </w:tcPr>
          <w:p w14:paraId="4F034CD3"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1,506 (77.5%)</w:t>
            </w:r>
          </w:p>
        </w:tc>
        <w:tc>
          <w:tcPr>
            <w:tcW w:w="1548" w:type="dxa"/>
            <w:tcBorders>
              <w:top w:val="nil"/>
              <w:bottom w:val="nil"/>
              <w:right w:val="single" w:sz="4" w:space="0" w:color="auto"/>
            </w:tcBorders>
            <w:vAlign w:val="center"/>
          </w:tcPr>
          <w:p w14:paraId="4CA71E3B"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790 (40.7%)</w:t>
            </w:r>
          </w:p>
        </w:tc>
      </w:tr>
      <w:tr w:rsidR="00C148F7" w:rsidRPr="00701584" w14:paraId="5D63A988"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1EE86F98" w14:textId="77777777" w:rsidR="00C148F7" w:rsidRPr="001F33D0" w:rsidRDefault="00C148F7" w:rsidP="00C148F7">
            <w:pPr>
              <w:rPr>
                <w:rFonts w:ascii="Arial" w:hAnsi="Arial" w:cs="Arial"/>
                <w:color w:val="000000" w:themeColor="text1"/>
                <w:sz w:val="20"/>
                <w:szCs w:val="16"/>
              </w:rPr>
            </w:pPr>
            <w:r>
              <w:rPr>
                <w:rFonts w:ascii="Arial" w:hAnsi="Arial" w:cs="Arial"/>
                <w:color w:val="000000" w:themeColor="text1"/>
                <w:sz w:val="20"/>
                <w:szCs w:val="16"/>
              </w:rPr>
              <w:t>Time to Fluid Initiation-mean (SD)</w:t>
            </w:r>
          </w:p>
        </w:tc>
        <w:tc>
          <w:tcPr>
            <w:tcW w:w="1530" w:type="dxa"/>
            <w:tcBorders>
              <w:top w:val="nil"/>
              <w:left w:val="single" w:sz="4" w:space="0" w:color="auto"/>
              <w:bottom w:val="nil"/>
              <w:right w:val="nil"/>
            </w:tcBorders>
            <w:shd w:val="clear" w:color="auto" w:fill="auto"/>
            <w:vAlign w:val="center"/>
          </w:tcPr>
          <w:p w14:paraId="560DCC6B"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118 (149)</w:t>
            </w:r>
          </w:p>
        </w:tc>
        <w:tc>
          <w:tcPr>
            <w:tcW w:w="1530" w:type="dxa"/>
            <w:tcBorders>
              <w:top w:val="nil"/>
              <w:left w:val="nil"/>
              <w:bottom w:val="nil"/>
              <w:right w:val="nil"/>
            </w:tcBorders>
            <w:shd w:val="clear" w:color="auto" w:fill="auto"/>
            <w:vAlign w:val="center"/>
          </w:tcPr>
          <w:p w14:paraId="6A681988"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86 (128)</w:t>
            </w:r>
          </w:p>
        </w:tc>
        <w:tc>
          <w:tcPr>
            <w:tcW w:w="1530" w:type="dxa"/>
            <w:tcBorders>
              <w:top w:val="nil"/>
              <w:left w:val="nil"/>
              <w:bottom w:val="nil"/>
              <w:right w:val="single" w:sz="4" w:space="0" w:color="auto"/>
            </w:tcBorders>
            <w:shd w:val="clear" w:color="auto" w:fill="auto"/>
            <w:vAlign w:val="center"/>
          </w:tcPr>
          <w:p w14:paraId="36A86F7E"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220 (160)</w:t>
            </w:r>
          </w:p>
        </w:tc>
        <w:tc>
          <w:tcPr>
            <w:tcW w:w="1620" w:type="dxa"/>
            <w:tcBorders>
              <w:top w:val="nil"/>
              <w:left w:val="nil"/>
              <w:bottom w:val="nil"/>
            </w:tcBorders>
            <w:vAlign w:val="center"/>
          </w:tcPr>
          <w:p w14:paraId="76C9FCA0"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89 (129)</w:t>
            </w:r>
          </w:p>
        </w:tc>
        <w:tc>
          <w:tcPr>
            <w:tcW w:w="1548" w:type="dxa"/>
            <w:tcBorders>
              <w:top w:val="nil"/>
              <w:bottom w:val="nil"/>
              <w:right w:val="single" w:sz="4" w:space="0" w:color="auto"/>
            </w:tcBorders>
            <w:vAlign w:val="center"/>
          </w:tcPr>
          <w:p w14:paraId="3DED8DBF"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210 (166)</w:t>
            </w:r>
          </w:p>
        </w:tc>
      </w:tr>
      <w:tr w:rsidR="00C148F7" w:rsidRPr="00701584" w14:paraId="2B035716" w14:textId="77777777" w:rsidTr="00C148F7">
        <w:trPr>
          <w:trHeight w:val="230"/>
        </w:trPr>
        <w:tc>
          <w:tcPr>
            <w:tcW w:w="3258" w:type="dxa"/>
            <w:tcBorders>
              <w:top w:val="nil"/>
              <w:left w:val="single" w:sz="4" w:space="0" w:color="auto"/>
              <w:bottom w:val="nil"/>
              <w:right w:val="single" w:sz="4" w:space="0" w:color="auto"/>
            </w:tcBorders>
            <w:shd w:val="clear" w:color="auto" w:fill="auto"/>
          </w:tcPr>
          <w:p w14:paraId="536BBBBE"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Fluid Volume</w:t>
            </w:r>
            <w:r>
              <w:rPr>
                <w:rFonts w:ascii="Arial" w:hAnsi="Arial" w:cs="Arial"/>
                <w:color w:val="000000" w:themeColor="text1"/>
                <w:sz w:val="20"/>
                <w:szCs w:val="16"/>
              </w:rPr>
              <w:t xml:space="preserve"> </w:t>
            </w:r>
            <w:r w:rsidRPr="001F33D0">
              <w:rPr>
                <w:rFonts w:ascii="Arial" w:hAnsi="Arial" w:cs="Arial"/>
                <w:color w:val="000000" w:themeColor="text1"/>
                <w:sz w:val="20"/>
                <w:szCs w:val="16"/>
              </w:rPr>
              <w:t>(mL/</w:t>
            </w:r>
            <w:r>
              <w:rPr>
                <w:rFonts w:ascii="Arial" w:hAnsi="Arial" w:cs="Arial"/>
                <w:color w:val="000000" w:themeColor="text1"/>
                <w:sz w:val="20"/>
                <w:szCs w:val="16"/>
              </w:rPr>
              <w:t>k</w:t>
            </w:r>
            <w:r w:rsidRPr="001F33D0">
              <w:rPr>
                <w:rFonts w:ascii="Arial" w:hAnsi="Arial" w:cs="Arial"/>
                <w:color w:val="000000" w:themeColor="text1"/>
                <w:sz w:val="20"/>
                <w:szCs w:val="16"/>
              </w:rPr>
              <w:t>g)</w:t>
            </w:r>
            <w:r>
              <w:rPr>
                <w:rFonts w:ascii="Arial" w:hAnsi="Arial" w:cs="Arial"/>
                <w:color w:val="000000" w:themeColor="text1"/>
                <w:sz w:val="20"/>
                <w:szCs w:val="16"/>
              </w:rPr>
              <w:t xml:space="preserve"> - mean (SD)</w:t>
            </w:r>
            <w:r w:rsidRPr="001F33D0">
              <w:rPr>
                <w:rFonts w:ascii="Arial" w:hAnsi="Arial" w:cs="Arial"/>
                <w:color w:val="000000" w:themeColor="text1"/>
                <w:sz w:val="20"/>
                <w:szCs w:val="16"/>
              </w:rPr>
              <w:t xml:space="preserve"> </w:t>
            </w:r>
          </w:p>
        </w:tc>
        <w:tc>
          <w:tcPr>
            <w:tcW w:w="1530" w:type="dxa"/>
            <w:tcBorders>
              <w:top w:val="nil"/>
              <w:left w:val="single" w:sz="4" w:space="0" w:color="auto"/>
              <w:bottom w:val="nil"/>
              <w:right w:val="nil"/>
            </w:tcBorders>
            <w:shd w:val="clear" w:color="auto" w:fill="auto"/>
            <w:vAlign w:val="center"/>
          </w:tcPr>
          <w:p w14:paraId="670E5318"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22.9 (18.7)</w:t>
            </w:r>
          </w:p>
        </w:tc>
        <w:tc>
          <w:tcPr>
            <w:tcW w:w="1530" w:type="dxa"/>
            <w:tcBorders>
              <w:top w:val="nil"/>
              <w:left w:val="nil"/>
              <w:bottom w:val="nil"/>
              <w:right w:val="nil"/>
            </w:tcBorders>
            <w:shd w:val="clear" w:color="auto" w:fill="auto"/>
            <w:vAlign w:val="center"/>
          </w:tcPr>
          <w:p w14:paraId="2B96AF37"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25.4 (18.4)</w:t>
            </w:r>
          </w:p>
        </w:tc>
        <w:tc>
          <w:tcPr>
            <w:tcW w:w="1530" w:type="dxa"/>
            <w:tcBorders>
              <w:top w:val="nil"/>
              <w:left w:val="nil"/>
              <w:bottom w:val="nil"/>
              <w:right w:val="single" w:sz="4" w:space="0" w:color="auto"/>
            </w:tcBorders>
            <w:shd w:val="clear" w:color="auto" w:fill="auto"/>
            <w:vAlign w:val="center"/>
          </w:tcPr>
          <w:p w14:paraId="4ECC8F3F"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14.1 (16.9)</w:t>
            </w:r>
          </w:p>
        </w:tc>
        <w:tc>
          <w:tcPr>
            <w:tcW w:w="1620" w:type="dxa"/>
            <w:tcBorders>
              <w:top w:val="nil"/>
              <w:left w:val="nil"/>
              <w:bottom w:val="nil"/>
            </w:tcBorders>
            <w:vAlign w:val="center"/>
          </w:tcPr>
          <w:p w14:paraId="18A03B8E"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26.0 (18.8)</w:t>
            </w:r>
          </w:p>
        </w:tc>
        <w:tc>
          <w:tcPr>
            <w:tcW w:w="1548" w:type="dxa"/>
            <w:tcBorders>
              <w:top w:val="nil"/>
              <w:bottom w:val="nil"/>
              <w:right w:val="single" w:sz="4" w:space="0" w:color="auto"/>
            </w:tcBorders>
            <w:vAlign w:val="center"/>
          </w:tcPr>
          <w:p w14:paraId="56197DFE"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15.4 (17.2)</w:t>
            </w:r>
          </w:p>
        </w:tc>
      </w:tr>
      <w:tr w:rsidR="00C148F7" w:rsidRPr="00701584" w14:paraId="28E70EFD" w14:textId="77777777" w:rsidTr="00C148F7">
        <w:trPr>
          <w:trHeight w:val="230"/>
        </w:trPr>
        <w:tc>
          <w:tcPr>
            <w:tcW w:w="3258" w:type="dxa"/>
            <w:tcBorders>
              <w:top w:val="nil"/>
              <w:left w:val="single" w:sz="4" w:space="0" w:color="auto"/>
              <w:right w:val="single" w:sz="4" w:space="0" w:color="auto"/>
            </w:tcBorders>
            <w:shd w:val="clear" w:color="auto" w:fill="auto"/>
          </w:tcPr>
          <w:p w14:paraId="3A30AA5A"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Lactate Result within 90 minutes</w:t>
            </w:r>
          </w:p>
        </w:tc>
        <w:tc>
          <w:tcPr>
            <w:tcW w:w="1530" w:type="dxa"/>
            <w:tcBorders>
              <w:top w:val="nil"/>
              <w:left w:val="single" w:sz="4" w:space="0" w:color="auto"/>
              <w:right w:val="nil"/>
            </w:tcBorders>
            <w:shd w:val="clear" w:color="auto" w:fill="auto"/>
            <w:vAlign w:val="center"/>
          </w:tcPr>
          <w:p w14:paraId="780423D8"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9,318 (83.3%)</w:t>
            </w:r>
          </w:p>
        </w:tc>
        <w:tc>
          <w:tcPr>
            <w:tcW w:w="1530" w:type="dxa"/>
            <w:tcBorders>
              <w:top w:val="nil"/>
              <w:left w:val="nil"/>
              <w:right w:val="nil"/>
            </w:tcBorders>
            <w:shd w:val="clear" w:color="auto" w:fill="auto"/>
            <w:vAlign w:val="center"/>
          </w:tcPr>
          <w:p w14:paraId="51E01DEA"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7,443 (85.8%)</w:t>
            </w:r>
          </w:p>
        </w:tc>
        <w:tc>
          <w:tcPr>
            <w:tcW w:w="1530" w:type="dxa"/>
            <w:tcBorders>
              <w:top w:val="nil"/>
              <w:left w:val="nil"/>
              <w:right w:val="single" w:sz="4" w:space="0" w:color="auto"/>
            </w:tcBorders>
            <w:shd w:val="clear" w:color="auto" w:fill="auto"/>
            <w:vAlign w:val="center"/>
          </w:tcPr>
          <w:p w14:paraId="1DE86B02" w14:textId="77777777" w:rsidR="00C148F7" w:rsidRPr="00DF7CD3" w:rsidRDefault="00C148F7" w:rsidP="00C148F7">
            <w:pPr>
              <w:jc w:val="center"/>
              <w:rPr>
                <w:rFonts w:ascii="Arial" w:hAnsi="Arial" w:cs="Arial"/>
                <w:color w:val="000000"/>
                <w:sz w:val="20"/>
                <w:szCs w:val="16"/>
              </w:rPr>
            </w:pPr>
            <w:r>
              <w:rPr>
                <w:rFonts w:ascii="Arial" w:hAnsi="Arial" w:cs="Arial"/>
                <w:color w:val="000000"/>
                <w:sz w:val="20"/>
                <w:szCs w:val="16"/>
              </w:rPr>
              <w:t>1,875 (74.7%)</w:t>
            </w:r>
          </w:p>
        </w:tc>
        <w:tc>
          <w:tcPr>
            <w:tcW w:w="1620" w:type="dxa"/>
            <w:tcBorders>
              <w:top w:val="nil"/>
              <w:left w:val="nil"/>
            </w:tcBorders>
            <w:vAlign w:val="center"/>
          </w:tcPr>
          <w:p w14:paraId="785DECC3"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1,709 (88.9%)</w:t>
            </w:r>
          </w:p>
        </w:tc>
        <w:tc>
          <w:tcPr>
            <w:tcW w:w="1548" w:type="dxa"/>
            <w:tcBorders>
              <w:top w:val="nil"/>
              <w:right w:val="single" w:sz="4" w:space="0" w:color="auto"/>
            </w:tcBorders>
            <w:vAlign w:val="center"/>
          </w:tcPr>
          <w:p w14:paraId="4650E828" w14:textId="77777777" w:rsidR="00C148F7" w:rsidRPr="00D24CD2" w:rsidRDefault="00C148F7" w:rsidP="00C148F7">
            <w:pPr>
              <w:jc w:val="center"/>
              <w:rPr>
                <w:rFonts w:ascii="Arial" w:hAnsi="Arial" w:cs="Arial"/>
                <w:color w:val="000000"/>
                <w:sz w:val="20"/>
                <w:szCs w:val="20"/>
              </w:rPr>
            </w:pPr>
            <w:r>
              <w:rPr>
                <w:rFonts w:ascii="Arial" w:hAnsi="Arial" w:cs="Arial"/>
                <w:color w:val="000000"/>
                <w:sz w:val="20"/>
                <w:szCs w:val="20"/>
              </w:rPr>
              <w:t>1,671 (88.7%)</w:t>
            </w:r>
          </w:p>
        </w:tc>
      </w:tr>
      <w:tr w:rsidR="00C148F7" w:rsidRPr="00701584" w14:paraId="682E701D" w14:textId="77777777" w:rsidTr="00C148F7">
        <w:trPr>
          <w:trHeight w:val="230"/>
        </w:trPr>
        <w:tc>
          <w:tcPr>
            <w:tcW w:w="3258" w:type="dxa"/>
            <w:tcBorders>
              <w:top w:val="nil"/>
              <w:left w:val="single" w:sz="4" w:space="0" w:color="auto"/>
              <w:right w:val="single" w:sz="4" w:space="0" w:color="auto"/>
            </w:tcBorders>
            <w:shd w:val="clear" w:color="auto" w:fill="auto"/>
          </w:tcPr>
          <w:p w14:paraId="4336CC30" w14:textId="77777777" w:rsidR="00C148F7" w:rsidRPr="001F33D0" w:rsidRDefault="00C148F7" w:rsidP="00C148F7">
            <w:pPr>
              <w:rPr>
                <w:rFonts w:ascii="Arial" w:hAnsi="Arial" w:cs="Arial"/>
                <w:color w:val="000000" w:themeColor="text1"/>
                <w:sz w:val="20"/>
                <w:szCs w:val="16"/>
              </w:rPr>
            </w:pPr>
            <w:r w:rsidRPr="001F33D0">
              <w:rPr>
                <w:rFonts w:ascii="Arial" w:hAnsi="Arial" w:cs="Arial"/>
                <w:color w:val="000000" w:themeColor="text1"/>
                <w:sz w:val="20"/>
                <w:szCs w:val="16"/>
              </w:rPr>
              <w:t>Repeat Lactate Obtained</w:t>
            </w:r>
          </w:p>
        </w:tc>
        <w:tc>
          <w:tcPr>
            <w:tcW w:w="1530" w:type="dxa"/>
            <w:tcBorders>
              <w:top w:val="nil"/>
              <w:left w:val="single" w:sz="4" w:space="0" w:color="auto"/>
              <w:right w:val="nil"/>
            </w:tcBorders>
            <w:shd w:val="clear" w:color="auto" w:fill="auto"/>
            <w:vAlign w:val="center"/>
          </w:tcPr>
          <w:p w14:paraId="284423D5"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5,976 (53.4%)</w:t>
            </w:r>
          </w:p>
        </w:tc>
        <w:tc>
          <w:tcPr>
            <w:tcW w:w="1530" w:type="dxa"/>
            <w:tcBorders>
              <w:top w:val="nil"/>
              <w:left w:val="nil"/>
              <w:right w:val="nil"/>
            </w:tcBorders>
            <w:shd w:val="clear" w:color="auto" w:fill="auto"/>
            <w:vAlign w:val="center"/>
          </w:tcPr>
          <w:p w14:paraId="591F666A"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4,617 (53.2%)</w:t>
            </w:r>
          </w:p>
        </w:tc>
        <w:tc>
          <w:tcPr>
            <w:tcW w:w="1530" w:type="dxa"/>
            <w:tcBorders>
              <w:top w:val="nil"/>
              <w:left w:val="nil"/>
              <w:right w:val="single" w:sz="4" w:space="0" w:color="auto"/>
            </w:tcBorders>
            <w:shd w:val="clear" w:color="auto" w:fill="auto"/>
            <w:vAlign w:val="center"/>
          </w:tcPr>
          <w:p w14:paraId="24A8C7A7"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1,359 (54.2%)</w:t>
            </w:r>
          </w:p>
        </w:tc>
        <w:tc>
          <w:tcPr>
            <w:tcW w:w="1620" w:type="dxa"/>
            <w:tcBorders>
              <w:top w:val="nil"/>
              <w:left w:val="nil"/>
            </w:tcBorders>
          </w:tcPr>
          <w:p w14:paraId="7A000EA8" w14:textId="77777777" w:rsidR="00C148F7" w:rsidRDefault="00C148F7" w:rsidP="00C148F7">
            <w:pPr>
              <w:jc w:val="center"/>
              <w:rPr>
                <w:rFonts w:ascii="Arial" w:hAnsi="Arial" w:cs="Arial"/>
                <w:color w:val="000000"/>
                <w:sz w:val="20"/>
                <w:szCs w:val="20"/>
              </w:rPr>
            </w:pPr>
            <w:r w:rsidRPr="00D24CD2">
              <w:rPr>
                <w:rFonts w:ascii="Arial" w:hAnsi="Arial" w:cs="Arial"/>
                <w:color w:val="000000" w:themeColor="text1"/>
                <w:sz w:val="20"/>
                <w:szCs w:val="20"/>
              </w:rPr>
              <w:t>1</w:t>
            </w:r>
            <w:r>
              <w:rPr>
                <w:rFonts w:ascii="Arial" w:hAnsi="Arial" w:cs="Arial"/>
                <w:color w:val="000000" w:themeColor="text1"/>
                <w:sz w:val="20"/>
                <w:szCs w:val="20"/>
              </w:rPr>
              <w:t>,</w:t>
            </w:r>
            <w:r w:rsidRPr="00D24CD2">
              <w:rPr>
                <w:rFonts w:ascii="Arial" w:hAnsi="Arial" w:cs="Arial"/>
                <w:color w:val="000000" w:themeColor="text1"/>
                <w:sz w:val="20"/>
                <w:szCs w:val="20"/>
              </w:rPr>
              <w:t>054 (54.3%)</w:t>
            </w:r>
          </w:p>
        </w:tc>
        <w:tc>
          <w:tcPr>
            <w:tcW w:w="1548" w:type="dxa"/>
            <w:tcBorders>
              <w:top w:val="nil"/>
              <w:right w:val="single" w:sz="4" w:space="0" w:color="auto"/>
            </w:tcBorders>
          </w:tcPr>
          <w:p w14:paraId="6F3F3DB0" w14:textId="77777777" w:rsidR="00C148F7" w:rsidRDefault="00C148F7" w:rsidP="00C148F7">
            <w:pPr>
              <w:jc w:val="center"/>
              <w:rPr>
                <w:rFonts w:ascii="Arial" w:hAnsi="Arial" w:cs="Arial"/>
                <w:color w:val="000000"/>
                <w:sz w:val="20"/>
                <w:szCs w:val="20"/>
              </w:rPr>
            </w:pPr>
            <w:r w:rsidRPr="00D24CD2">
              <w:rPr>
                <w:rFonts w:ascii="Arial" w:hAnsi="Arial" w:cs="Arial"/>
                <w:color w:val="000000" w:themeColor="text1"/>
                <w:sz w:val="20"/>
                <w:szCs w:val="20"/>
              </w:rPr>
              <w:t>1</w:t>
            </w:r>
            <w:r>
              <w:rPr>
                <w:rFonts w:ascii="Arial" w:hAnsi="Arial" w:cs="Arial"/>
                <w:color w:val="000000" w:themeColor="text1"/>
                <w:sz w:val="20"/>
                <w:szCs w:val="20"/>
              </w:rPr>
              <w:t>,</w:t>
            </w:r>
            <w:r w:rsidRPr="00D24CD2">
              <w:rPr>
                <w:rFonts w:ascii="Arial" w:hAnsi="Arial" w:cs="Arial"/>
                <w:color w:val="000000" w:themeColor="text1"/>
                <w:sz w:val="20"/>
                <w:szCs w:val="20"/>
              </w:rPr>
              <w:t>211 (62.4%)</w:t>
            </w:r>
          </w:p>
        </w:tc>
      </w:tr>
      <w:tr w:rsidR="00C148F7" w:rsidRPr="00701584" w14:paraId="24B4AD33" w14:textId="77777777" w:rsidTr="00C148F7">
        <w:trPr>
          <w:trHeight w:val="230"/>
        </w:trPr>
        <w:tc>
          <w:tcPr>
            <w:tcW w:w="3258" w:type="dxa"/>
            <w:tcBorders>
              <w:top w:val="nil"/>
              <w:left w:val="single" w:sz="4" w:space="0" w:color="auto"/>
              <w:right w:val="single" w:sz="4" w:space="0" w:color="auto"/>
            </w:tcBorders>
            <w:shd w:val="clear" w:color="auto" w:fill="auto"/>
            <w:vAlign w:val="center"/>
          </w:tcPr>
          <w:p w14:paraId="588FE705" w14:textId="77777777" w:rsidR="00C148F7" w:rsidRPr="001F33D0" w:rsidRDefault="00C148F7" w:rsidP="00C148F7">
            <w:pPr>
              <w:rPr>
                <w:rFonts w:ascii="Arial" w:hAnsi="Arial" w:cs="Arial"/>
                <w:color w:val="000000" w:themeColor="text1"/>
                <w:sz w:val="20"/>
                <w:szCs w:val="16"/>
              </w:rPr>
            </w:pPr>
            <w:r>
              <w:rPr>
                <w:rFonts w:ascii="Arial" w:hAnsi="Arial" w:cs="Arial"/>
                <w:b/>
                <w:color w:val="000000"/>
                <w:sz w:val="20"/>
                <w:szCs w:val="16"/>
              </w:rPr>
              <w:t>Patient Outcomes</w:t>
            </w:r>
          </w:p>
        </w:tc>
        <w:tc>
          <w:tcPr>
            <w:tcW w:w="1530" w:type="dxa"/>
            <w:tcBorders>
              <w:top w:val="nil"/>
              <w:left w:val="single" w:sz="4" w:space="0" w:color="auto"/>
              <w:right w:val="nil"/>
            </w:tcBorders>
            <w:shd w:val="clear" w:color="auto" w:fill="auto"/>
            <w:vAlign w:val="center"/>
          </w:tcPr>
          <w:p w14:paraId="239E8688" w14:textId="77777777" w:rsidR="00C148F7" w:rsidRDefault="00C148F7" w:rsidP="00C148F7">
            <w:pPr>
              <w:jc w:val="center"/>
              <w:rPr>
                <w:rFonts w:ascii="Arial" w:hAnsi="Arial" w:cs="Arial"/>
                <w:color w:val="000000"/>
                <w:sz w:val="20"/>
                <w:szCs w:val="16"/>
              </w:rPr>
            </w:pPr>
          </w:p>
        </w:tc>
        <w:tc>
          <w:tcPr>
            <w:tcW w:w="1530" w:type="dxa"/>
            <w:tcBorders>
              <w:top w:val="nil"/>
              <w:left w:val="nil"/>
              <w:right w:val="nil"/>
            </w:tcBorders>
            <w:shd w:val="clear" w:color="auto" w:fill="auto"/>
            <w:vAlign w:val="center"/>
          </w:tcPr>
          <w:p w14:paraId="139BCF79" w14:textId="77777777" w:rsidR="00C148F7" w:rsidRDefault="00C148F7" w:rsidP="00C148F7">
            <w:pPr>
              <w:jc w:val="center"/>
              <w:rPr>
                <w:rFonts w:ascii="Arial" w:hAnsi="Arial" w:cs="Arial"/>
                <w:color w:val="000000"/>
                <w:sz w:val="20"/>
                <w:szCs w:val="16"/>
              </w:rPr>
            </w:pPr>
          </w:p>
        </w:tc>
        <w:tc>
          <w:tcPr>
            <w:tcW w:w="1530" w:type="dxa"/>
            <w:tcBorders>
              <w:top w:val="nil"/>
              <w:left w:val="nil"/>
              <w:right w:val="single" w:sz="4" w:space="0" w:color="auto"/>
            </w:tcBorders>
            <w:shd w:val="clear" w:color="auto" w:fill="auto"/>
            <w:vAlign w:val="center"/>
          </w:tcPr>
          <w:p w14:paraId="5B73140C" w14:textId="77777777" w:rsidR="00C148F7" w:rsidRDefault="00C148F7" w:rsidP="00C148F7">
            <w:pPr>
              <w:jc w:val="center"/>
              <w:rPr>
                <w:rFonts w:ascii="Arial" w:hAnsi="Arial" w:cs="Arial"/>
                <w:color w:val="000000"/>
                <w:sz w:val="20"/>
                <w:szCs w:val="16"/>
              </w:rPr>
            </w:pPr>
          </w:p>
        </w:tc>
        <w:tc>
          <w:tcPr>
            <w:tcW w:w="1620" w:type="dxa"/>
            <w:tcBorders>
              <w:top w:val="nil"/>
              <w:left w:val="nil"/>
            </w:tcBorders>
            <w:vAlign w:val="center"/>
          </w:tcPr>
          <w:p w14:paraId="68D4E7F3" w14:textId="77777777" w:rsidR="00C148F7" w:rsidRDefault="00C148F7" w:rsidP="00C148F7">
            <w:pPr>
              <w:jc w:val="center"/>
              <w:rPr>
                <w:rFonts w:ascii="Arial" w:hAnsi="Arial" w:cs="Arial"/>
                <w:color w:val="000000"/>
                <w:sz w:val="20"/>
                <w:szCs w:val="20"/>
              </w:rPr>
            </w:pPr>
          </w:p>
        </w:tc>
        <w:tc>
          <w:tcPr>
            <w:tcW w:w="1548" w:type="dxa"/>
            <w:tcBorders>
              <w:top w:val="nil"/>
              <w:right w:val="single" w:sz="4" w:space="0" w:color="auto"/>
            </w:tcBorders>
            <w:vAlign w:val="center"/>
          </w:tcPr>
          <w:p w14:paraId="4AD33C14" w14:textId="77777777" w:rsidR="00C148F7" w:rsidRDefault="00C148F7" w:rsidP="00C148F7">
            <w:pPr>
              <w:jc w:val="center"/>
              <w:rPr>
                <w:rFonts w:ascii="Arial" w:hAnsi="Arial" w:cs="Arial"/>
                <w:color w:val="000000"/>
                <w:sz w:val="20"/>
                <w:szCs w:val="20"/>
              </w:rPr>
            </w:pPr>
          </w:p>
        </w:tc>
      </w:tr>
      <w:tr w:rsidR="00C148F7" w:rsidRPr="00701584" w14:paraId="15186B36" w14:textId="77777777" w:rsidTr="00C148F7">
        <w:trPr>
          <w:trHeight w:val="230"/>
        </w:trPr>
        <w:tc>
          <w:tcPr>
            <w:tcW w:w="3258" w:type="dxa"/>
            <w:tcBorders>
              <w:top w:val="nil"/>
              <w:left w:val="single" w:sz="4" w:space="0" w:color="auto"/>
              <w:right w:val="single" w:sz="4" w:space="0" w:color="auto"/>
            </w:tcBorders>
            <w:shd w:val="clear" w:color="auto" w:fill="auto"/>
            <w:vAlign w:val="center"/>
          </w:tcPr>
          <w:p w14:paraId="42654083" w14:textId="77777777" w:rsidR="00C148F7" w:rsidRPr="001F33D0" w:rsidRDefault="00C148F7" w:rsidP="00C148F7">
            <w:pPr>
              <w:rPr>
                <w:rFonts w:ascii="Arial" w:hAnsi="Arial" w:cs="Arial"/>
                <w:color w:val="000000" w:themeColor="text1"/>
                <w:sz w:val="20"/>
                <w:szCs w:val="16"/>
              </w:rPr>
            </w:pPr>
            <w:r>
              <w:rPr>
                <w:rFonts w:ascii="Arial" w:hAnsi="Arial" w:cs="Arial"/>
                <w:color w:val="000000"/>
                <w:sz w:val="20"/>
                <w:szCs w:val="16"/>
              </w:rPr>
              <w:t>In-Hospital Mortality</w:t>
            </w:r>
          </w:p>
        </w:tc>
        <w:tc>
          <w:tcPr>
            <w:tcW w:w="1530" w:type="dxa"/>
            <w:tcBorders>
              <w:top w:val="nil"/>
              <w:left w:val="single" w:sz="4" w:space="0" w:color="auto"/>
              <w:right w:val="nil"/>
            </w:tcBorders>
            <w:shd w:val="clear" w:color="auto" w:fill="auto"/>
            <w:vAlign w:val="center"/>
          </w:tcPr>
          <w:p w14:paraId="4168CA44" w14:textId="77777777" w:rsidR="00C148F7" w:rsidRDefault="00C148F7" w:rsidP="00C148F7">
            <w:pPr>
              <w:jc w:val="center"/>
              <w:rPr>
                <w:rFonts w:ascii="Arial" w:hAnsi="Arial" w:cs="Arial"/>
                <w:color w:val="000000"/>
                <w:sz w:val="20"/>
                <w:szCs w:val="16"/>
              </w:rPr>
            </w:pPr>
            <w:r>
              <w:rPr>
                <w:rFonts w:ascii="Arial" w:hAnsi="Arial" w:cs="Arial"/>
                <w:sz w:val="20"/>
                <w:szCs w:val="16"/>
              </w:rPr>
              <w:t>2,241 (20.0%)</w:t>
            </w:r>
          </w:p>
        </w:tc>
        <w:tc>
          <w:tcPr>
            <w:tcW w:w="1530" w:type="dxa"/>
            <w:tcBorders>
              <w:top w:val="nil"/>
              <w:left w:val="nil"/>
              <w:right w:val="nil"/>
            </w:tcBorders>
            <w:shd w:val="clear" w:color="auto" w:fill="auto"/>
            <w:vAlign w:val="center"/>
          </w:tcPr>
          <w:p w14:paraId="6C246306" w14:textId="77777777" w:rsidR="00C148F7" w:rsidRDefault="00C148F7" w:rsidP="00C148F7">
            <w:pPr>
              <w:jc w:val="center"/>
              <w:rPr>
                <w:rFonts w:ascii="Arial" w:hAnsi="Arial" w:cs="Arial"/>
                <w:color w:val="000000"/>
                <w:sz w:val="20"/>
                <w:szCs w:val="16"/>
              </w:rPr>
            </w:pPr>
            <w:r>
              <w:rPr>
                <w:rFonts w:ascii="Arial" w:hAnsi="Arial" w:cs="Arial"/>
                <w:sz w:val="20"/>
                <w:szCs w:val="16"/>
              </w:rPr>
              <w:t>1,456 (16.8%)</w:t>
            </w:r>
          </w:p>
        </w:tc>
        <w:tc>
          <w:tcPr>
            <w:tcW w:w="1530" w:type="dxa"/>
            <w:tcBorders>
              <w:top w:val="nil"/>
              <w:left w:val="nil"/>
              <w:right w:val="single" w:sz="4" w:space="0" w:color="auto"/>
            </w:tcBorders>
            <w:shd w:val="clear" w:color="auto" w:fill="auto"/>
            <w:vAlign w:val="center"/>
          </w:tcPr>
          <w:p w14:paraId="4AF7D298" w14:textId="77777777" w:rsidR="00C148F7" w:rsidRDefault="00C148F7" w:rsidP="00C148F7">
            <w:pPr>
              <w:jc w:val="center"/>
              <w:rPr>
                <w:rFonts w:ascii="Arial" w:hAnsi="Arial" w:cs="Arial"/>
                <w:color w:val="000000"/>
                <w:sz w:val="20"/>
                <w:szCs w:val="16"/>
              </w:rPr>
            </w:pPr>
            <w:r>
              <w:rPr>
                <w:rFonts w:ascii="Arial" w:hAnsi="Arial" w:cs="Arial"/>
                <w:sz w:val="20"/>
                <w:szCs w:val="16"/>
              </w:rPr>
              <w:t>785 (31.3%)</w:t>
            </w:r>
          </w:p>
        </w:tc>
        <w:tc>
          <w:tcPr>
            <w:tcW w:w="1620" w:type="dxa"/>
            <w:tcBorders>
              <w:top w:val="nil"/>
              <w:left w:val="nil"/>
            </w:tcBorders>
            <w:vAlign w:val="center"/>
          </w:tcPr>
          <w:p w14:paraId="2056DCF9"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374 (19.3%)</w:t>
            </w:r>
          </w:p>
        </w:tc>
        <w:tc>
          <w:tcPr>
            <w:tcW w:w="1548" w:type="dxa"/>
            <w:tcBorders>
              <w:top w:val="nil"/>
              <w:right w:val="single" w:sz="4" w:space="0" w:color="auto"/>
            </w:tcBorders>
            <w:vAlign w:val="center"/>
          </w:tcPr>
          <w:p w14:paraId="3F68086F"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605 (31.2%)</w:t>
            </w:r>
          </w:p>
        </w:tc>
      </w:tr>
      <w:tr w:rsidR="00C148F7" w:rsidRPr="00701584" w14:paraId="01337A08" w14:textId="77777777" w:rsidTr="00C148F7">
        <w:trPr>
          <w:trHeight w:val="230"/>
        </w:trPr>
        <w:tc>
          <w:tcPr>
            <w:tcW w:w="3258" w:type="dxa"/>
            <w:tcBorders>
              <w:top w:val="nil"/>
              <w:left w:val="single" w:sz="4" w:space="0" w:color="auto"/>
              <w:right w:val="single" w:sz="4" w:space="0" w:color="auto"/>
            </w:tcBorders>
            <w:shd w:val="clear" w:color="auto" w:fill="auto"/>
            <w:vAlign w:val="center"/>
          </w:tcPr>
          <w:p w14:paraId="64D5A4C5" w14:textId="77777777" w:rsidR="00C148F7" w:rsidRPr="001F33D0" w:rsidRDefault="00C148F7" w:rsidP="00C148F7">
            <w:pPr>
              <w:rPr>
                <w:rFonts w:ascii="Arial" w:hAnsi="Arial" w:cs="Arial"/>
                <w:color w:val="000000" w:themeColor="text1"/>
                <w:sz w:val="20"/>
                <w:szCs w:val="16"/>
              </w:rPr>
            </w:pPr>
            <w:r>
              <w:rPr>
                <w:rFonts w:ascii="Arial" w:hAnsi="Arial" w:cs="Arial"/>
                <w:color w:val="000000"/>
                <w:sz w:val="20"/>
                <w:szCs w:val="16"/>
              </w:rPr>
              <w:t>Mechanical Ventilation</w:t>
            </w:r>
          </w:p>
        </w:tc>
        <w:tc>
          <w:tcPr>
            <w:tcW w:w="1530" w:type="dxa"/>
            <w:tcBorders>
              <w:top w:val="nil"/>
              <w:left w:val="single" w:sz="4" w:space="0" w:color="auto"/>
              <w:right w:val="nil"/>
            </w:tcBorders>
            <w:shd w:val="clear" w:color="auto" w:fill="auto"/>
            <w:vAlign w:val="center"/>
          </w:tcPr>
          <w:p w14:paraId="731F1592"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3,265 (29.2%)</w:t>
            </w:r>
          </w:p>
        </w:tc>
        <w:tc>
          <w:tcPr>
            <w:tcW w:w="1530" w:type="dxa"/>
            <w:tcBorders>
              <w:top w:val="nil"/>
              <w:left w:val="nil"/>
              <w:right w:val="nil"/>
            </w:tcBorders>
            <w:shd w:val="clear" w:color="auto" w:fill="auto"/>
            <w:vAlign w:val="center"/>
          </w:tcPr>
          <w:p w14:paraId="0A8B737C"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2,024 (23.3%)</w:t>
            </w:r>
          </w:p>
        </w:tc>
        <w:tc>
          <w:tcPr>
            <w:tcW w:w="1530" w:type="dxa"/>
            <w:tcBorders>
              <w:top w:val="nil"/>
              <w:left w:val="nil"/>
              <w:right w:val="single" w:sz="4" w:space="0" w:color="auto"/>
            </w:tcBorders>
            <w:shd w:val="clear" w:color="auto" w:fill="auto"/>
            <w:vAlign w:val="center"/>
          </w:tcPr>
          <w:p w14:paraId="22DA0FD3"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1,241 (49.5%)</w:t>
            </w:r>
          </w:p>
        </w:tc>
        <w:tc>
          <w:tcPr>
            <w:tcW w:w="1620" w:type="dxa"/>
            <w:tcBorders>
              <w:top w:val="nil"/>
              <w:left w:val="nil"/>
            </w:tcBorders>
            <w:vAlign w:val="center"/>
          </w:tcPr>
          <w:p w14:paraId="229DD8D6"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532</w:t>
            </w:r>
            <w:r w:rsidRPr="00473334">
              <w:rPr>
                <w:rFonts w:ascii="Arial" w:hAnsi="Arial" w:cs="Arial"/>
                <w:color w:val="000000"/>
                <w:sz w:val="20"/>
                <w:szCs w:val="20"/>
              </w:rPr>
              <w:t xml:space="preserve"> (</w:t>
            </w:r>
            <w:r>
              <w:rPr>
                <w:rFonts w:ascii="Arial" w:hAnsi="Arial" w:cs="Arial"/>
                <w:color w:val="000000"/>
                <w:sz w:val="20"/>
                <w:szCs w:val="20"/>
              </w:rPr>
              <w:t>27.4%</w:t>
            </w:r>
            <w:r w:rsidRPr="00473334">
              <w:rPr>
                <w:rFonts w:ascii="Arial" w:hAnsi="Arial" w:cs="Arial"/>
                <w:color w:val="000000"/>
                <w:sz w:val="20"/>
                <w:szCs w:val="20"/>
              </w:rPr>
              <w:t>)</w:t>
            </w:r>
          </w:p>
        </w:tc>
        <w:tc>
          <w:tcPr>
            <w:tcW w:w="1548" w:type="dxa"/>
            <w:tcBorders>
              <w:top w:val="nil"/>
              <w:right w:val="single" w:sz="4" w:space="0" w:color="auto"/>
            </w:tcBorders>
            <w:vAlign w:val="center"/>
          </w:tcPr>
          <w:p w14:paraId="1C9452A6"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1,000</w:t>
            </w:r>
            <w:r w:rsidRPr="00473334">
              <w:rPr>
                <w:rFonts w:ascii="Arial" w:hAnsi="Arial" w:cs="Arial"/>
                <w:color w:val="000000"/>
                <w:sz w:val="20"/>
                <w:szCs w:val="20"/>
              </w:rPr>
              <w:t xml:space="preserve"> (</w:t>
            </w:r>
            <w:r>
              <w:rPr>
                <w:rFonts w:ascii="Arial" w:hAnsi="Arial" w:cs="Arial"/>
                <w:color w:val="000000"/>
                <w:sz w:val="20"/>
                <w:szCs w:val="20"/>
              </w:rPr>
              <w:t>51.5%</w:t>
            </w:r>
            <w:r w:rsidRPr="00473334">
              <w:rPr>
                <w:rFonts w:ascii="Arial" w:hAnsi="Arial" w:cs="Arial"/>
                <w:color w:val="000000"/>
                <w:sz w:val="20"/>
                <w:szCs w:val="20"/>
              </w:rPr>
              <w:t>)</w:t>
            </w:r>
          </w:p>
        </w:tc>
      </w:tr>
      <w:tr w:rsidR="00C148F7" w:rsidRPr="00701584" w14:paraId="0190DA59" w14:textId="77777777" w:rsidTr="00C148F7">
        <w:trPr>
          <w:trHeight w:val="230"/>
        </w:trPr>
        <w:tc>
          <w:tcPr>
            <w:tcW w:w="3258" w:type="dxa"/>
            <w:tcBorders>
              <w:top w:val="nil"/>
              <w:left w:val="single" w:sz="4" w:space="0" w:color="auto"/>
              <w:right w:val="single" w:sz="4" w:space="0" w:color="auto"/>
            </w:tcBorders>
            <w:shd w:val="clear" w:color="auto" w:fill="auto"/>
            <w:vAlign w:val="center"/>
          </w:tcPr>
          <w:p w14:paraId="2EDD4293" w14:textId="77777777" w:rsidR="00C148F7" w:rsidRPr="001F33D0" w:rsidRDefault="00C148F7" w:rsidP="00C148F7">
            <w:pPr>
              <w:rPr>
                <w:rFonts w:ascii="Arial" w:hAnsi="Arial" w:cs="Arial"/>
                <w:color w:val="000000" w:themeColor="text1"/>
                <w:sz w:val="20"/>
                <w:szCs w:val="16"/>
              </w:rPr>
            </w:pPr>
            <w:r>
              <w:rPr>
                <w:rFonts w:ascii="Arial" w:hAnsi="Arial" w:cs="Arial"/>
                <w:color w:val="000000"/>
                <w:sz w:val="20"/>
                <w:szCs w:val="16"/>
              </w:rPr>
              <w:t>ICU Admission</w:t>
            </w:r>
            <w:r w:rsidRPr="008D26CD">
              <w:rPr>
                <w:rFonts w:ascii="Arial" w:hAnsi="Arial" w:cs="Arial"/>
                <w:color w:val="000000"/>
                <w:sz w:val="18"/>
                <w:szCs w:val="16"/>
              </w:rPr>
              <w:t xml:space="preserve"> (excluding ICU admit before sepsis onset)</w:t>
            </w:r>
          </w:p>
        </w:tc>
        <w:tc>
          <w:tcPr>
            <w:tcW w:w="1530" w:type="dxa"/>
            <w:tcBorders>
              <w:top w:val="nil"/>
              <w:left w:val="single" w:sz="4" w:space="0" w:color="auto"/>
              <w:right w:val="nil"/>
            </w:tcBorders>
            <w:shd w:val="clear" w:color="auto" w:fill="auto"/>
            <w:vAlign w:val="center"/>
          </w:tcPr>
          <w:p w14:paraId="794FC7AF"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5,185 (46.4%)</w:t>
            </w:r>
          </w:p>
        </w:tc>
        <w:tc>
          <w:tcPr>
            <w:tcW w:w="1530" w:type="dxa"/>
            <w:tcBorders>
              <w:top w:val="nil"/>
              <w:left w:val="nil"/>
              <w:right w:val="nil"/>
            </w:tcBorders>
            <w:shd w:val="clear" w:color="auto" w:fill="auto"/>
            <w:vAlign w:val="center"/>
          </w:tcPr>
          <w:p w14:paraId="04AC7874"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3,423 (39.5%)</w:t>
            </w:r>
          </w:p>
        </w:tc>
        <w:tc>
          <w:tcPr>
            <w:tcW w:w="1530" w:type="dxa"/>
            <w:tcBorders>
              <w:top w:val="nil"/>
              <w:left w:val="nil"/>
              <w:right w:val="single" w:sz="4" w:space="0" w:color="auto"/>
            </w:tcBorders>
            <w:shd w:val="clear" w:color="auto" w:fill="auto"/>
            <w:vAlign w:val="center"/>
          </w:tcPr>
          <w:p w14:paraId="6795BD59"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973 (58.5%)</w:t>
            </w:r>
          </w:p>
        </w:tc>
        <w:tc>
          <w:tcPr>
            <w:tcW w:w="1620" w:type="dxa"/>
            <w:tcBorders>
              <w:top w:val="nil"/>
              <w:left w:val="nil"/>
            </w:tcBorders>
            <w:vAlign w:val="center"/>
          </w:tcPr>
          <w:p w14:paraId="768DFCE9"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903</w:t>
            </w:r>
            <w:r w:rsidRPr="00473334">
              <w:rPr>
                <w:rFonts w:ascii="Arial" w:hAnsi="Arial" w:cs="Arial"/>
                <w:color w:val="000000"/>
                <w:sz w:val="20"/>
                <w:szCs w:val="20"/>
              </w:rPr>
              <w:t xml:space="preserve"> (</w:t>
            </w:r>
            <w:r>
              <w:rPr>
                <w:rFonts w:ascii="Arial" w:hAnsi="Arial" w:cs="Arial"/>
                <w:color w:val="000000"/>
                <w:sz w:val="20"/>
                <w:szCs w:val="20"/>
              </w:rPr>
              <w:t>46</w:t>
            </w:r>
            <w:r w:rsidRPr="00473334">
              <w:rPr>
                <w:rFonts w:ascii="Arial" w:hAnsi="Arial" w:cs="Arial"/>
                <w:color w:val="000000"/>
                <w:sz w:val="20"/>
                <w:szCs w:val="20"/>
              </w:rPr>
              <w:t>.</w:t>
            </w:r>
            <w:r>
              <w:rPr>
                <w:rFonts w:ascii="Arial" w:hAnsi="Arial" w:cs="Arial"/>
                <w:color w:val="000000"/>
                <w:sz w:val="20"/>
                <w:szCs w:val="20"/>
              </w:rPr>
              <w:t>5</w:t>
            </w:r>
            <w:r w:rsidRPr="00473334">
              <w:rPr>
                <w:rFonts w:ascii="Arial" w:hAnsi="Arial" w:cs="Arial"/>
                <w:color w:val="000000"/>
                <w:sz w:val="20"/>
                <w:szCs w:val="20"/>
              </w:rPr>
              <w:t>%)</w:t>
            </w:r>
          </w:p>
        </w:tc>
        <w:tc>
          <w:tcPr>
            <w:tcW w:w="1548" w:type="dxa"/>
            <w:tcBorders>
              <w:top w:val="nil"/>
              <w:right w:val="single" w:sz="4" w:space="0" w:color="auto"/>
            </w:tcBorders>
            <w:vAlign w:val="center"/>
          </w:tcPr>
          <w:p w14:paraId="402C60F8"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775 (60.6%)</w:t>
            </w:r>
          </w:p>
        </w:tc>
      </w:tr>
      <w:tr w:rsidR="00C148F7" w:rsidRPr="00701584" w14:paraId="06ADECD6" w14:textId="77777777" w:rsidTr="00C148F7">
        <w:trPr>
          <w:trHeight w:val="230"/>
        </w:trPr>
        <w:tc>
          <w:tcPr>
            <w:tcW w:w="3258" w:type="dxa"/>
            <w:tcBorders>
              <w:top w:val="nil"/>
              <w:left w:val="single" w:sz="4" w:space="0" w:color="auto"/>
              <w:right w:val="single" w:sz="4" w:space="0" w:color="auto"/>
            </w:tcBorders>
            <w:shd w:val="clear" w:color="auto" w:fill="auto"/>
            <w:vAlign w:val="center"/>
          </w:tcPr>
          <w:p w14:paraId="2D152A0D" w14:textId="77777777" w:rsidR="00C148F7" w:rsidRPr="001F33D0" w:rsidRDefault="00C148F7" w:rsidP="00C148F7">
            <w:pPr>
              <w:rPr>
                <w:rFonts w:ascii="Arial" w:hAnsi="Arial" w:cs="Arial"/>
                <w:color w:val="000000" w:themeColor="text1"/>
                <w:sz w:val="20"/>
                <w:szCs w:val="16"/>
              </w:rPr>
            </w:pPr>
            <w:r>
              <w:rPr>
                <w:rFonts w:ascii="Arial" w:hAnsi="Arial" w:cs="Arial"/>
                <w:color w:val="000000"/>
                <w:sz w:val="20"/>
                <w:szCs w:val="16"/>
              </w:rPr>
              <w:t xml:space="preserve">ICU Days </w:t>
            </w:r>
            <w:r>
              <w:rPr>
                <w:rFonts w:ascii="Arial" w:hAnsi="Arial" w:cs="Arial"/>
                <w:bCs/>
                <w:color w:val="000000"/>
                <w:sz w:val="20"/>
                <w:szCs w:val="16"/>
              </w:rPr>
              <w:t>[95% CI]</w:t>
            </w:r>
            <w:r>
              <w:rPr>
                <w:rFonts w:ascii="Arial" w:hAnsi="Arial" w:cs="Arial"/>
                <w:color w:val="000000"/>
                <w:sz w:val="20"/>
                <w:szCs w:val="16"/>
              </w:rPr>
              <w:t xml:space="preserve"> </w:t>
            </w:r>
            <w:r>
              <w:rPr>
                <w:rFonts w:ascii="Arial" w:hAnsi="Arial" w:cs="Arial"/>
                <w:color w:val="000000"/>
                <w:sz w:val="18"/>
                <w:szCs w:val="16"/>
              </w:rPr>
              <w:t>(ICU admit</w:t>
            </w:r>
            <w:r w:rsidRPr="0097797A">
              <w:rPr>
                <w:rFonts w:ascii="Arial" w:hAnsi="Arial" w:cs="Arial"/>
                <w:color w:val="000000"/>
                <w:sz w:val="18"/>
                <w:szCs w:val="16"/>
              </w:rPr>
              <w:t xml:space="preserve"> only)</w:t>
            </w:r>
          </w:p>
        </w:tc>
        <w:tc>
          <w:tcPr>
            <w:tcW w:w="1530" w:type="dxa"/>
            <w:tcBorders>
              <w:top w:val="nil"/>
              <w:left w:val="single" w:sz="4" w:space="0" w:color="auto"/>
              <w:right w:val="nil"/>
            </w:tcBorders>
            <w:shd w:val="clear" w:color="auto" w:fill="auto"/>
            <w:vAlign w:val="center"/>
          </w:tcPr>
          <w:p w14:paraId="1FFB0486"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6 [5.7-6.3]</w:t>
            </w:r>
          </w:p>
        </w:tc>
        <w:tc>
          <w:tcPr>
            <w:tcW w:w="1530" w:type="dxa"/>
            <w:tcBorders>
              <w:top w:val="nil"/>
              <w:left w:val="nil"/>
              <w:right w:val="nil"/>
            </w:tcBorders>
            <w:shd w:val="clear" w:color="auto" w:fill="auto"/>
            <w:vAlign w:val="center"/>
          </w:tcPr>
          <w:p w14:paraId="7BE958D0" w14:textId="77777777" w:rsidR="00C148F7" w:rsidRDefault="00C148F7" w:rsidP="00C148F7">
            <w:pPr>
              <w:jc w:val="center"/>
              <w:rPr>
                <w:rFonts w:ascii="Arial" w:hAnsi="Arial" w:cs="Arial"/>
                <w:color w:val="000000"/>
                <w:sz w:val="20"/>
                <w:szCs w:val="16"/>
              </w:rPr>
            </w:pPr>
            <w:r>
              <w:rPr>
                <w:rFonts w:ascii="Arial" w:hAnsi="Arial" w:cs="Arial"/>
                <w:color w:val="000000"/>
                <w:sz w:val="20"/>
                <w:szCs w:val="20"/>
              </w:rPr>
              <w:t>5 [4.8-5.2]</w:t>
            </w:r>
          </w:p>
        </w:tc>
        <w:tc>
          <w:tcPr>
            <w:tcW w:w="1530" w:type="dxa"/>
            <w:tcBorders>
              <w:top w:val="nil"/>
              <w:left w:val="nil"/>
              <w:right w:val="single" w:sz="4" w:space="0" w:color="auto"/>
            </w:tcBorders>
            <w:shd w:val="clear" w:color="auto" w:fill="auto"/>
            <w:vAlign w:val="center"/>
          </w:tcPr>
          <w:p w14:paraId="42011ABC" w14:textId="77777777" w:rsidR="00C148F7" w:rsidRDefault="00C148F7" w:rsidP="00C148F7">
            <w:pPr>
              <w:jc w:val="center"/>
              <w:rPr>
                <w:rFonts w:ascii="Arial" w:hAnsi="Arial" w:cs="Arial"/>
                <w:color w:val="000000"/>
                <w:sz w:val="20"/>
                <w:szCs w:val="16"/>
              </w:rPr>
            </w:pPr>
            <w:r>
              <w:rPr>
                <w:rFonts w:ascii="Arial" w:hAnsi="Arial" w:cs="Arial"/>
                <w:color w:val="000000"/>
                <w:sz w:val="20"/>
                <w:szCs w:val="20"/>
              </w:rPr>
              <w:t>10 [9.2-10.8]</w:t>
            </w:r>
          </w:p>
        </w:tc>
        <w:tc>
          <w:tcPr>
            <w:tcW w:w="1620" w:type="dxa"/>
            <w:tcBorders>
              <w:top w:val="nil"/>
              <w:left w:val="nil"/>
            </w:tcBorders>
            <w:vAlign w:val="center"/>
          </w:tcPr>
          <w:p w14:paraId="3F6B8792"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5 [4.6-5.5]</w:t>
            </w:r>
          </w:p>
        </w:tc>
        <w:tc>
          <w:tcPr>
            <w:tcW w:w="1548" w:type="dxa"/>
            <w:tcBorders>
              <w:top w:val="nil"/>
              <w:right w:val="single" w:sz="4" w:space="0" w:color="auto"/>
            </w:tcBorders>
            <w:vAlign w:val="center"/>
          </w:tcPr>
          <w:p w14:paraId="1B3CCDC0"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10 [9.0-11.0]</w:t>
            </w:r>
          </w:p>
        </w:tc>
      </w:tr>
      <w:tr w:rsidR="00C148F7" w:rsidRPr="00701584" w14:paraId="5E8C4FB3" w14:textId="77777777" w:rsidTr="00C148F7">
        <w:trPr>
          <w:trHeight w:val="230"/>
        </w:trPr>
        <w:tc>
          <w:tcPr>
            <w:tcW w:w="3258" w:type="dxa"/>
            <w:tcBorders>
              <w:top w:val="nil"/>
              <w:left w:val="single" w:sz="4" w:space="0" w:color="auto"/>
              <w:bottom w:val="single" w:sz="4" w:space="0" w:color="auto"/>
              <w:right w:val="single" w:sz="4" w:space="0" w:color="auto"/>
            </w:tcBorders>
            <w:shd w:val="clear" w:color="auto" w:fill="auto"/>
            <w:vAlign w:val="center"/>
          </w:tcPr>
          <w:p w14:paraId="5963760D" w14:textId="77777777" w:rsidR="00C148F7" w:rsidRPr="001F33D0" w:rsidRDefault="00C148F7" w:rsidP="00C148F7">
            <w:pPr>
              <w:rPr>
                <w:rFonts w:ascii="Arial" w:hAnsi="Arial" w:cs="Arial"/>
                <w:color w:val="000000" w:themeColor="text1"/>
                <w:sz w:val="20"/>
                <w:szCs w:val="16"/>
              </w:rPr>
            </w:pPr>
            <w:r>
              <w:rPr>
                <w:rFonts w:ascii="Arial" w:hAnsi="Arial" w:cs="Arial"/>
                <w:bCs/>
                <w:color w:val="000000"/>
                <w:sz w:val="20"/>
                <w:szCs w:val="16"/>
              </w:rPr>
              <w:t>Hospital Days [95% CI]</w:t>
            </w:r>
          </w:p>
        </w:tc>
        <w:tc>
          <w:tcPr>
            <w:tcW w:w="1530" w:type="dxa"/>
            <w:tcBorders>
              <w:top w:val="nil"/>
              <w:left w:val="single" w:sz="4" w:space="0" w:color="auto"/>
              <w:bottom w:val="single" w:sz="4" w:space="0" w:color="auto"/>
              <w:right w:val="nil"/>
            </w:tcBorders>
            <w:shd w:val="clear" w:color="auto" w:fill="auto"/>
            <w:vAlign w:val="center"/>
          </w:tcPr>
          <w:p w14:paraId="57B4C649" w14:textId="77777777" w:rsidR="00C148F7" w:rsidRDefault="00C148F7" w:rsidP="00C148F7">
            <w:pPr>
              <w:jc w:val="center"/>
              <w:rPr>
                <w:rFonts w:ascii="Arial" w:hAnsi="Arial" w:cs="Arial"/>
                <w:color w:val="000000"/>
                <w:sz w:val="20"/>
                <w:szCs w:val="16"/>
              </w:rPr>
            </w:pPr>
            <w:r>
              <w:rPr>
                <w:rFonts w:ascii="Arial" w:hAnsi="Arial" w:cs="Arial"/>
                <w:bCs/>
                <w:color w:val="000000"/>
                <w:sz w:val="20"/>
                <w:szCs w:val="16"/>
              </w:rPr>
              <w:t>9.0 [8.8-9.2]</w:t>
            </w:r>
          </w:p>
        </w:tc>
        <w:tc>
          <w:tcPr>
            <w:tcW w:w="1530" w:type="dxa"/>
            <w:tcBorders>
              <w:top w:val="nil"/>
              <w:left w:val="nil"/>
              <w:bottom w:val="single" w:sz="4" w:space="0" w:color="auto"/>
              <w:right w:val="nil"/>
            </w:tcBorders>
            <w:shd w:val="clear" w:color="auto" w:fill="auto"/>
            <w:vAlign w:val="center"/>
          </w:tcPr>
          <w:p w14:paraId="4D27B822" w14:textId="77777777" w:rsidR="00C148F7" w:rsidRDefault="00C148F7" w:rsidP="00C148F7">
            <w:pPr>
              <w:jc w:val="center"/>
              <w:rPr>
                <w:rFonts w:ascii="Arial" w:hAnsi="Arial" w:cs="Arial"/>
                <w:color w:val="000000"/>
                <w:sz w:val="20"/>
                <w:szCs w:val="16"/>
              </w:rPr>
            </w:pPr>
            <w:r>
              <w:rPr>
                <w:rFonts w:ascii="Arial" w:hAnsi="Arial" w:cs="Arial"/>
                <w:sz w:val="20"/>
                <w:szCs w:val="16"/>
              </w:rPr>
              <w:t>8 [7.8-8.2]</w:t>
            </w:r>
          </w:p>
        </w:tc>
        <w:tc>
          <w:tcPr>
            <w:tcW w:w="1530" w:type="dxa"/>
            <w:tcBorders>
              <w:top w:val="nil"/>
              <w:left w:val="nil"/>
              <w:bottom w:val="single" w:sz="4" w:space="0" w:color="auto"/>
              <w:right w:val="single" w:sz="4" w:space="0" w:color="auto"/>
            </w:tcBorders>
            <w:shd w:val="clear" w:color="auto" w:fill="auto"/>
            <w:vAlign w:val="center"/>
          </w:tcPr>
          <w:p w14:paraId="07CFD37C" w14:textId="77777777" w:rsidR="00C148F7" w:rsidRDefault="00C148F7" w:rsidP="00C148F7">
            <w:pPr>
              <w:jc w:val="center"/>
              <w:rPr>
                <w:rFonts w:ascii="Arial" w:hAnsi="Arial" w:cs="Arial"/>
                <w:color w:val="000000"/>
                <w:sz w:val="20"/>
                <w:szCs w:val="16"/>
              </w:rPr>
            </w:pPr>
            <w:r>
              <w:rPr>
                <w:rFonts w:ascii="Arial" w:hAnsi="Arial" w:cs="Arial"/>
                <w:color w:val="000000"/>
                <w:sz w:val="20"/>
                <w:szCs w:val="16"/>
              </w:rPr>
              <w:t>17 [16.1-17.9]</w:t>
            </w:r>
          </w:p>
        </w:tc>
        <w:tc>
          <w:tcPr>
            <w:tcW w:w="1620" w:type="dxa"/>
            <w:tcBorders>
              <w:top w:val="nil"/>
              <w:left w:val="nil"/>
              <w:bottom w:val="single" w:sz="4" w:space="0" w:color="auto"/>
            </w:tcBorders>
            <w:vAlign w:val="center"/>
          </w:tcPr>
          <w:p w14:paraId="4AF0FB70"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8 [7.6-8.4]</w:t>
            </w:r>
          </w:p>
        </w:tc>
        <w:tc>
          <w:tcPr>
            <w:tcW w:w="1548" w:type="dxa"/>
            <w:tcBorders>
              <w:top w:val="nil"/>
              <w:bottom w:val="single" w:sz="4" w:space="0" w:color="auto"/>
              <w:right w:val="single" w:sz="4" w:space="0" w:color="auto"/>
            </w:tcBorders>
            <w:vAlign w:val="center"/>
          </w:tcPr>
          <w:p w14:paraId="19EAC4CB" w14:textId="77777777" w:rsidR="00C148F7" w:rsidRDefault="00C148F7" w:rsidP="00C148F7">
            <w:pPr>
              <w:jc w:val="center"/>
              <w:rPr>
                <w:rFonts w:ascii="Arial" w:hAnsi="Arial" w:cs="Arial"/>
                <w:color w:val="000000"/>
                <w:sz w:val="20"/>
                <w:szCs w:val="20"/>
              </w:rPr>
            </w:pPr>
            <w:r>
              <w:rPr>
                <w:rFonts w:ascii="Arial" w:hAnsi="Arial" w:cs="Arial"/>
                <w:color w:val="000000"/>
                <w:sz w:val="20"/>
                <w:szCs w:val="20"/>
              </w:rPr>
              <w:t>17 [15.9-18.0]</w:t>
            </w:r>
          </w:p>
        </w:tc>
      </w:tr>
      <w:tr w:rsidR="00C148F7" w:rsidRPr="00701584" w14:paraId="78E7AA2E" w14:textId="77777777" w:rsidTr="00C148F7">
        <w:trPr>
          <w:trHeight w:val="470"/>
        </w:trPr>
        <w:tc>
          <w:tcPr>
            <w:tcW w:w="110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DA6975" w14:textId="77777777" w:rsidR="00C148F7" w:rsidRDefault="00C148F7" w:rsidP="00C148F7">
            <w:pPr>
              <w:rPr>
                <w:rFonts w:ascii="Arial" w:hAnsi="Arial" w:cs="Arial"/>
                <w:color w:val="000000"/>
                <w:sz w:val="20"/>
                <w:szCs w:val="20"/>
              </w:rPr>
            </w:pPr>
            <w:r>
              <w:rPr>
                <w:rFonts w:ascii="Arial" w:hAnsi="Arial" w:cs="Arial"/>
                <w:color w:val="000000"/>
                <w:sz w:val="20"/>
                <w:szCs w:val="20"/>
              </w:rPr>
              <w:t>All data presented as frequency (percentage) unless otherwise indicated.</w:t>
            </w:r>
          </w:p>
          <w:p w14:paraId="210C88C5" w14:textId="77777777" w:rsidR="00C148F7" w:rsidRDefault="00C148F7" w:rsidP="00C148F7">
            <w:pPr>
              <w:rPr>
                <w:rFonts w:ascii="Arial" w:hAnsi="Arial" w:cs="Arial"/>
                <w:color w:val="000000"/>
                <w:sz w:val="20"/>
                <w:szCs w:val="20"/>
              </w:rPr>
            </w:pPr>
            <w:r w:rsidRPr="00ED34F4">
              <w:rPr>
                <w:rFonts w:ascii="Arial" w:hAnsi="Arial" w:cs="Arial"/>
                <w:color w:val="000000"/>
                <w:sz w:val="20"/>
                <w:szCs w:val="20"/>
              </w:rPr>
              <w:t>Abbreviations</w:t>
            </w:r>
            <w:r>
              <w:rPr>
                <w:rFonts w:ascii="Arial" w:hAnsi="Arial" w:cs="Arial"/>
                <w:color w:val="000000"/>
                <w:sz w:val="20"/>
                <w:szCs w:val="20"/>
              </w:rPr>
              <w:t>: EDPS, emergency department-presenting sepsis; HPS, hospital-presenting sepsis; ICU, intensive care unit; IQR, interquartile range; SD, standard deviation; SSC, Surviving Sepsis Campaign.</w:t>
            </w:r>
          </w:p>
        </w:tc>
      </w:tr>
    </w:tbl>
    <w:p w14:paraId="2835AF71" w14:textId="54FB95DC" w:rsidR="006846A8" w:rsidRDefault="006846A8">
      <w:r>
        <w:br w:type="page"/>
      </w:r>
    </w:p>
    <w:p w14:paraId="2EF635E6" w14:textId="77777777" w:rsidR="00CF4457" w:rsidRDefault="00CF4457"/>
    <w:tbl>
      <w:tblPr>
        <w:tblW w:w="10923"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5"/>
        <w:gridCol w:w="2760"/>
        <w:gridCol w:w="1080"/>
        <w:gridCol w:w="2711"/>
        <w:gridCol w:w="1177"/>
      </w:tblGrid>
      <w:tr w:rsidR="006846A8" w:rsidRPr="007D77C3" w14:paraId="43C42C48" w14:textId="77777777" w:rsidTr="00044657">
        <w:trPr>
          <w:trHeight w:val="319"/>
        </w:trPr>
        <w:tc>
          <w:tcPr>
            <w:tcW w:w="10923" w:type="dxa"/>
            <w:gridSpan w:val="5"/>
            <w:shd w:val="clear" w:color="auto" w:fill="auto"/>
            <w:noWrap/>
            <w:vAlign w:val="bottom"/>
            <w:hideMark/>
          </w:tcPr>
          <w:p w14:paraId="300826C5" w14:textId="68615EE3" w:rsidR="006846A8" w:rsidRPr="007D77C3" w:rsidRDefault="006846A8" w:rsidP="00A76EC8">
            <w:pPr>
              <w:spacing w:after="0" w:line="240" w:lineRule="auto"/>
              <w:rPr>
                <w:rFonts w:ascii="Arial" w:eastAsia="Times New Roman" w:hAnsi="Arial" w:cs="Arial"/>
                <w:color w:val="000000"/>
              </w:rPr>
            </w:pPr>
            <w:r>
              <w:rPr>
                <w:rFonts w:ascii="Arial" w:hAnsi="Arial" w:cs="Arial"/>
                <w:b/>
                <w:bCs/>
                <w:color w:val="000000"/>
                <w:sz w:val="28"/>
                <w:szCs w:val="28"/>
              </w:rPr>
              <w:t xml:space="preserve">Supplemental </w:t>
            </w:r>
            <w:r w:rsidRPr="008B025A">
              <w:rPr>
                <w:rFonts w:ascii="Arial" w:hAnsi="Arial" w:cs="Arial"/>
                <w:b/>
                <w:bCs/>
                <w:color w:val="000000"/>
                <w:sz w:val="28"/>
                <w:szCs w:val="28"/>
              </w:rPr>
              <w:t xml:space="preserve">Table </w:t>
            </w:r>
            <w:r w:rsidR="00A76EC8">
              <w:rPr>
                <w:rFonts w:ascii="Arial" w:hAnsi="Arial" w:cs="Arial"/>
                <w:b/>
                <w:bCs/>
                <w:color w:val="000000"/>
                <w:sz w:val="28"/>
                <w:szCs w:val="28"/>
              </w:rPr>
              <w:t>7:</w:t>
            </w:r>
            <w:r w:rsidRPr="00006634">
              <w:rPr>
                <w:rFonts w:ascii="Arial" w:eastAsia="Times New Roman" w:hAnsi="Arial" w:cs="Arial"/>
                <w:b/>
                <w:bCs/>
                <w:color w:val="000000"/>
                <w:sz w:val="28"/>
              </w:rPr>
              <w:t xml:space="preserve"> Interaction Coefficients for the Association of </w:t>
            </w:r>
            <w:r>
              <w:rPr>
                <w:rFonts w:ascii="Arial" w:eastAsia="Times New Roman" w:hAnsi="Arial" w:cs="Arial"/>
                <w:b/>
                <w:bCs/>
                <w:color w:val="000000"/>
                <w:sz w:val="28"/>
              </w:rPr>
              <w:t>Hospital vs. ED Sepsis Presentation</w:t>
            </w:r>
            <w:r w:rsidRPr="00006634">
              <w:rPr>
                <w:rFonts w:ascii="Arial" w:eastAsia="Times New Roman" w:hAnsi="Arial" w:cs="Arial"/>
                <w:b/>
                <w:bCs/>
                <w:color w:val="000000"/>
                <w:sz w:val="28"/>
              </w:rPr>
              <w:t xml:space="preserve"> </w:t>
            </w:r>
            <w:r>
              <w:rPr>
                <w:rFonts w:ascii="Arial" w:eastAsia="Times New Roman" w:hAnsi="Arial" w:cs="Arial"/>
                <w:b/>
                <w:bCs/>
                <w:color w:val="000000"/>
                <w:sz w:val="28"/>
              </w:rPr>
              <w:t xml:space="preserve">with Outcomes </w:t>
            </w:r>
            <w:r w:rsidRPr="00006634">
              <w:rPr>
                <w:rFonts w:ascii="Arial" w:eastAsia="Times New Roman" w:hAnsi="Arial" w:cs="Arial"/>
                <w:b/>
                <w:bCs/>
                <w:color w:val="000000"/>
                <w:sz w:val="28"/>
              </w:rPr>
              <w:t xml:space="preserve">by </w:t>
            </w:r>
            <w:r>
              <w:rPr>
                <w:rFonts w:ascii="Arial" w:eastAsia="Times New Roman" w:hAnsi="Arial" w:cs="Arial"/>
                <w:b/>
                <w:bCs/>
                <w:color w:val="000000"/>
                <w:sz w:val="28"/>
              </w:rPr>
              <w:t>Bundle Intervention.</w:t>
            </w:r>
          </w:p>
        </w:tc>
      </w:tr>
      <w:tr w:rsidR="006846A8" w:rsidRPr="007D77C3" w14:paraId="1F559A12" w14:textId="77777777" w:rsidTr="00044657">
        <w:trPr>
          <w:trHeight w:val="319"/>
        </w:trPr>
        <w:tc>
          <w:tcPr>
            <w:tcW w:w="3195" w:type="dxa"/>
            <w:tcBorders>
              <w:bottom w:val="nil"/>
            </w:tcBorders>
            <w:shd w:val="clear" w:color="auto" w:fill="auto"/>
            <w:noWrap/>
            <w:vAlign w:val="bottom"/>
            <w:hideMark/>
          </w:tcPr>
          <w:p w14:paraId="57E3A264" w14:textId="77777777" w:rsidR="006846A8" w:rsidRPr="007D77C3" w:rsidRDefault="006846A8" w:rsidP="00044657">
            <w:pPr>
              <w:spacing w:after="0" w:line="240" w:lineRule="auto"/>
              <w:rPr>
                <w:rFonts w:ascii="Arial" w:eastAsia="Times New Roman" w:hAnsi="Arial" w:cs="Arial"/>
                <w:color w:val="000000"/>
              </w:rPr>
            </w:pPr>
          </w:p>
        </w:tc>
        <w:tc>
          <w:tcPr>
            <w:tcW w:w="3840" w:type="dxa"/>
            <w:gridSpan w:val="2"/>
            <w:tcBorders>
              <w:bottom w:val="nil"/>
            </w:tcBorders>
            <w:shd w:val="clear" w:color="auto" w:fill="auto"/>
            <w:noWrap/>
            <w:vAlign w:val="bottom"/>
            <w:hideMark/>
          </w:tcPr>
          <w:p w14:paraId="52D9C72B" w14:textId="77777777" w:rsidR="006846A8" w:rsidRPr="007D77C3" w:rsidRDefault="006846A8" w:rsidP="00044657">
            <w:pPr>
              <w:spacing w:after="0" w:line="240" w:lineRule="auto"/>
              <w:jc w:val="center"/>
              <w:rPr>
                <w:rFonts w:ascii="Arial" w:eastAsia="Times New Roman" w:hAnsi="Arial" w:cs="Arial"/>
                <w:color w:val="000000"/>
                <w:u w:val="single"/>
              </w:rPr>
            </w:pPr>
            <w:r>
              <w:rPr>
                <w:rFonts w:ascii="Arial" w:eastAsia="Times New Roman" w:hAnsi="Arial" w:cs="Arial"/>
                <w:color w:val="000000"/>
                <w:u w:val="single"/>
              </w:rPr>
              <w:t>All Hospital Presenting Sepsis</w:t>
            </w:r>
          </w:p>
        </w:tc>
        <w:tc>
          <w:tcPr>
            <w:tcW w:w="3888" w:type="dxa"/>
            <w:gridSpan w:val="2"/>
            <w:tcBorders>
              <w:bottom w:val="nil"/>
            </w:tcBorders>
            <w:shd w:val="clear" w:color="auto" w:fill="auto"/>
            <w:noWrap/>
            <w:vAlign w:val="bottom"/>
            <w:hideMark/>
          </w:tcPr>
          <w:p w14:paraId="07BAAB98" w14:textId="77777777" w:rsidR="006846A8" w:rsidRPr="007D77C3" w:rsidRDefault="006846A8" w:rsidP="00044657">
            <w:pPr>
              <w:spacing w:after="0" w:line="240" w:lineRule="auto"/>
              <w:jc w:val="center"/>
              <w:rPr>
                <w:rFonts w:ascii="Arial" w:eastAsia="Times New Roman" w:hAnsi="Arial" w:cs="Arial"/>
                <w:color w:val="000000"/>
                <w:u w:val="single"/>
              </w:rPr>
            </w:pPr>
            <w:r>
              <w:rPr>
                <w:rFonts w:ascii="Arial" w:eastAsia="Times New Roman" w:hAnsi="Arial" w:cs="Arial"/>
                <w:color w:val="000000"/>
                <w:u w:val="single"/>
              </w:rPr>
              <w:t>Non-ICU Hospital Presenting Sepsis</w:t>
            </w:r>
          </w:p>
        </w:tc>
      </w:tr>
      <w:tr w:rsidR="006846A8" w:rsidRPr="007D77C3" w14:paraId="4F37D54A" w14:textId="77777777" w:rsidTr="00044657">
        <w:trPr>
          <w:trHeight w:val="319"/>
        </w:trPr>
        <w:tc>
          <w:tcPr>
            <w:tcW w:w="3195" w:type="dxa"/>
            <w:tcBorders>
              <w:top w:val="nil"/>
              <w:bottom w:val="single" w:sz="4" w:space="0" w:color="auto"/>
            </w:tcBorders>
            <w:shd w:val="clear" w:color="auto" w:fill="auto"/>
            <w:noWrap/>
            <w:vAlign w:val="bottom"/>
            <w:hideMark/>
          </w:tcPr>
          <w:p w14:paraId="320472B1" w14:textId="77777777" w:rsidR="006846A8" w:rsidRPr="007D77C3" w:rsidRDefault="006846A8" w:rsidP="00044657">
            <w:pPr>
              <w:spacing w:after="0" w:line="240" w:lineRule="auto"/>
              <w:rPr>
                <w:rFonts w:ascii="Arial" w:eastAsia="Times New Roman" w:hAnsi="Arial" w:cs="Arial"/>
                <w:bCs/>
                <w:color w:val="000000"/>
              </w:rPr>
            </w:pPr>
            <w:r w:rsidRPr="00FC31D2">
              <w:rPr>
                <w:rFonts w:ascii="Arial" w:eastAsia="Times New Roman" w:hAnsi="Arial" w:cs="Arial"/>
                <w:bCs/>
                <w:color w:val="000000"/>
              </w:rPr>
              <w:t>Phenotype</w:t>
            </w:r>
          </w:p>
        </w:tc>
        <w:tc>
          <w:tcPr>
            <w:tcW w:w="2760" w:type="dxa"/>
            <w:tcBorders>
              <w:top w:val="nil"/>
              <w:bottom w:val="single" w:sz="4" w:space="0" w:color="auto"/>
            </w:tcBorders>
            <w:shd w:val="clear" w:color="auto" w:fill="auto"/>
            <w:noWrap/>
            <w:vAlign w:val="bottom"/>
            <w:hideMark/>
          </w:tcPr>
          <w:p w14:paraId="6FB0B515" w14:textId="77777777" w:rsidR="006846A8" w:rsidRPr="007D77C3" w:rsidRDefault="006846A8" w:rsidP="00044657">
            <w:pPr>
              <w:spacing w:after="0" w:line="240" w:lineRule="auto"/>
              <w:jc w:val="center"/>
              <w:rPr>
                <w:rFonts w:ascii="Arial" w:eastAsia="Times New Roman" w:hAnsi="Arial" w:cs="Arial"/>
                <w:color w:val="000000"/>
              </w:rPr>
            </w:pPr>
            <w:r w:rsidRPr="007D77C3">
              <w:rPr>
                <w:rFonts w:ascii="Arial" w:eastAsia="Times New Roman" w:hAnsi="Arial" w:cs="Arial"/>
                <w:color w:val="000000"/>
              </w:rPr>
              <w:t>Interaction Term [95%CI]</w:t>
            </w:r>
          </w:p>
        </w:tc>
        <w:tc>
          <w:tcPr>
            <w:tcW w:w="1080" w:type="dxa"/>
            <w:tcBorders>
              <w:top w:val="nil"/>
              <w:bottom w:val="single" w:sz="4" w:space="0" w:color="auto"/>
            </w:tcBorders>
            <w:shd w:val="clear" w:color="auto" w:fill="auto"/>
            <w:noWrap/>
            <w:vAlign w:val="bottom"/>
            <w:hideMark/>
          </w:tcPr>
          <w:p w14:paraId="691FDD17" w14:textId="77777777" w:rsidR="006846A8" w:rsidRPr="007D77C3" w:rsidRDefault="006846A8" w:rsidP="00044657">
            <w:pPr>
              <w:spacing w:after="0" w:line="240" w:lineRule="auto"/>
              <w:jc w:val="center"/>
              <w:rPr>
                <w:rFonts w:ascii="Arial" w:eastAsia="Times New Roman" w:hAnsi="Arial" w:cs="Arial"/>
                <w:color w:val="000000"/>
              </w:rPr>
            </w:pPr>
            <w:r w:rsidRPr="007D77C3">
              <w:rPr>
                <w:rFonts w:ascii="Arial" w:eastAsia="Times New Roman" w:hAnsi="Arial" w:cs="Arial"/>
                <w:color w:val="000000"/>
              </w:rPr>
              <w:t>p</w:t>
            </w:r>
            <w:r w:rsidRPr="007D77C3">
              <w:rPr>
                <w:rFonts w:ascii="Arial" w:eastAsia="Times New Roman" w:hAnsi="Arial" w:cs="Arial"/>
                <w:color w:val="000000"/>
                <w:vertAlign w:val="subscript"/>
              </w:rPr>
              <w:t>(interaction)</w:t>
            </w:r>
          </w:p>
        </w:tc>
        <w:tc>
          <w:tcPr>
            <w:tcW w:w="2711" w:type="dxa"/>
            <w:tcBorders>
              <w:top w:val="nil"/>
              <w:bottom w:val="single" w:sz="4" w:space="0" w:color="auto"/>
            </w:tcBorders>
            <w:shd w:val="clear" w:color="auto" w:fill="auto"/>
            <w:noWrap/>
            <w:vAlign w:val="bottom"/>
            <w:hideMark/>
          </w:tcPr>
          <w:p w14:paraId="06719BF1" w14:textId="77777777" w:rsidR="006846A8" w:rsidRPr="007D77C3" w:rsidRDefault="006846A8" w:rsidP="00044657">
            <w:pPr>
              <w:spacing w:after="0" w:line="240" w:lineRule="auto"/>
              <w:jc w:val="center"/>
              <w:rPr>
                <w:rFonts w:ascii="Arial" w:eastAsia="Times New Roman" w:hAnsi="Arial" w:cs="Arial"/>
                <w:color w:val="000000"/>
              </w:rPr>
            </w:pPr>
            <w:r w:rsidRPr="007D77C3">
              <w:rPr>
                <w:rFonts w:ascii="Arial" w:eastAsia="Times New Roman" w:hAnsi="Arial" w:cs="Arial"/>
                <w:color w:val="000000"/>
              </w:rPr>
              <w:t>Interaction Term [95%CI]</w:t>
            </w:r>
          </w:p>
        </w:tc>
        <w:tc>
          <w:tcPr>
            <w:tcW w:w="1177" w:type="dxa"/>
            <w:tcBorders>
              <w:top w:val="nil"/>
              <w:bottom w:val="single" w:sz="4" w:space="0" w:color="auto"/>
            </w:tcBorders>
            <w:shd w:val="clear" w:color="auto" w:fill="auto"/>
            <w:noWrap/>
            <w:vAlign w:val="bottom"/>
            <w:hideMark/>
          </w:tcPr>
          <w:p w14:paraId="4F782532" w14:textId="77777777" w:rsidR="006846A8" w:rsidRPr="007D77C3" w:rsidRDefault="006846A8" w:rsidP="00044657">
            <w:pPr>
              <w:spacing w:after="0" w:line="240" w:lineRule="auto"/>
              <w:jc w:val="center"/>
              <w:rPr>
                <w:rFonts w:ascii="Arial" w:eastAsia="Times New Roman" w:hAnsi="Arial" w:cs="Arial"/>
                <w:color w:val="000000"/>
              </w:rPr>
            </w:pPr>
            <w:r w:rsidRPr="007D77C3">
              <w:rPr>
                <w:rFonts w:ascii="Arial" w:eastAsia="Times New Roman" w:hAnsi="Arial" w:cs="Arial"/>
                <w:color w:val="000000"/>
              </w:rPr>
              <w:t>p</w:t>
            </w:r>
            <w:r w:rsidRPr="007D77C3">
              <w:rPr>
                <w:rFonts w:ascii="Arial" w:eastAsia="Times New Roman" w:hAnsi="Arial" w:cs="Arial"/>
                <w:color w:val="000000"/>
                <w:vertAlign w:val="subscript"/>
              </w:rPr>
              <w:t>(interaction)</w:t>
            </w:r>
          </w:p>
        </w:tc>
      </w:tr>
      <w:tr w:rsidR="006846A8" w:rsidRPr="007D77C3" w14:paraId="4E6692AC" w14:textId="77777777" w:rsidTr="00044657">
        <w:trPr>
          <w:trHeight w:val="449"/>
        </w:trPr>
        <w:tc>
          <w:tcPr>
            <w:tcW w:w="3195" w:type="dxa"/>
            <w:tcBorders>
              <w:top w:val="single" w:sz="4" w:space="0" w:color="auto"/>
            </w:tcBorders>
            <w:shd w:val="clear" w:color="auto" w:fill="auto"/>
            <w:noWrap/>
            <w:vAlign w:val="bottom"/>
          </w:tcPr>
          <w:p w14:paraId="2BFE67D4" w14:textId="77777777" w:rsidR="006846A8" w:rsidRPr="00FC31D2" w:rsidRDefault="006846A8" w:rsidP="00044657">
            <w:pPr>
              <w:spacing w:after="0" w:line="240" w:lineRule="auto"/>
              <w:rPr>
                <w:rFonts w:ascii="Arial" w:eastAsia="Times New Roman" w:hAnsi="Arial" w:cs="Arial"/>
                <w:b/>
                <w:i/>
                <w:color w:val="000000"/>
              </w:rPr>
            </w:pPr>
            <w:r w:rsidRPr="00FC31D2">
              <w:rPr>
                <w:rFonts w:ascii="Arial" w:eastAsia="Times New Roman" w:hAnsi="Arial" w:cs="Arial"/>
                <w:b/>
                <w:i/>
                <w:color w:val="000000"/>
              </w:rPr>
              <w:t>Hospital Mortality</w:t>
            </w:r>
          </w:p>
        </w:tc>
        <w:tc>
          <w:tcPr>
            <w:tcW w:w="2760" w:type="dxa"/>
            <w:tcBorders>
              <w:top w:val="single" w:sz="4" w:space="0" w:color="auto"/>
            </w:tcBorders>
            <w:shd w:val="clear" w:color="auto" w:fill="auto"/>
            <w:noWrap/>
          </w:tcPr>
          <w:p w14:paraId="59E1F1BA" w14:textId="77777777" w:rsidR="006846A8" w:rsidRPr="007D77C3" w:rsidRDefault="006846A8" w:rsidP="00044657">
            <w:pPr>
              <w:spacing w:after="0" w:line="240" w:lineRule="auto"/>
              <w:jc w:val="center"/>
              <w:rPr>
                <w:rFonts w:ascii="Arial" w:eastAsia="Times New Roman" w:hAnsi="Arial" w:cs="Arial"/>
                <w:color w:val="000000"/>
              </w:rPr>
            </w:pPr>
          </w:p>
        </w:tc>
        <w:tc>
          <w:tcPr>
            <w:tcW w:w="1080" w:type="dxa"/>
            <w:tcBorders>
              <w:top w:val="single" w:sz="4" w:space="0" w:color="auto"/>
            </w:tcBorders>
            <w:shd w:val="clear" w:color="auto" w:fill="auto"/>
            <w:noWrap/>
          </w:tcPr>
          <w:p w14:paraId="4C0351DF" w14:textId="77777777" w:rsidR="006846A8" w:rsidRPr="007D77C3" w:rsidRDefault="006846A8" w:rsidP="00044657">
            <w:pPr>
              <w:spacing w:after="0" w:line="240" w:lineRule="auto"/>
              <w:jc w:val="center"/>
              <w:rPr>
                <w:rFonts w:ascii="Arial" w:eastAsia="Times New Roman" w:hAnsi="Arial" w:cs="Arial"/>
                <w:color w:val="000000"/>
              </w:rPr>
            </w:pPr>
          </w:p>
        </w:tc>
        <w:tc>
          <w:tcPr>
            <w:tcW w:w="2711" w:type="dxa"/>
            <w:tcBorders>
              <w:top w:val="single" w:sz="4" w:space="0" w:color="auto"/>
            </w:tcBorders>
            <w:shd w:val="clear" w:color="auto" w:fill="auto"/>
            <w:noWrap/>
          </w:tcPr>
          <w:p w14:paraId="3668C808" w14:textId="77777777" w:rsidR="006846A8" w:rsidRPr="007D77C3" w:rsidRDefault="006846A8" w:rsidP="00044657">
            <w:pPr>
              <w:spacing w:after="0" w:line="240" w:lineRule="auto"/>
              <w:jc w:val="center"/>
              <w:rPr>
                <w:rFonts w:ascii="Arial" w:eastAsia="Times New Roman" w:hAnsi="Arial" w:cs="Arial"/>
                <w:color w:val="000000"/>
              </w:rPr>
            </w:pPr>
          </w:p>
        </w:tc>
        <w:tc>
          <w:tcPr>
            <w:tcW w:w="1177" w:type="dxa"/>
            <w:tcBorders>
              <w:top w:val="single" w:sz="4" w:space="0" w:color="auto"/>
            </w:tcBorders>
            <w:shd w:val="clear" w:color="auto" w:fill="auto"/>
            <w:noWrap/>
          </w:tcPr>
          <w:p w14:paraId="6CCEA396" w14:textId="77777777" w:rsidR="006846A8" w:rsidRPr="007D77C3" w:rsidRDefault="006846A8" w:rsidP="00044657">
            <w:pPr>
              <w:spacing w:after="0" w:line="240" w:lineRule="auto"/>
              <w:jc w:val="center"/>
              <w:rPr>
                <w:rFonts w:ascii="Arial" w:eastAsia="Times New Roman" w:hAnsi="Arial" w:cs="Arial"/>
                <w:color w:val="000000"/>
              </w:rPr>
            </w:pPr>
          </w:p>
        </w:tc>
      </w:tr>
      <w:tr w:rsidR="006846A8" w:rsidRPr="007D77C3" w14:paraId="18D5CF6E" w14:textId="77777777" w:rsidTr="00044657">
        <w:trPr>
          <w:trHeight w:val="319"/>
        </w:trPr>
        <w:tc>
          <w:tcPr>
            <w:tcW w:w="3195" w:type="dxa"/>
            <w:shd w:val="clear" w:color="auto" w:fill="auto"/>
            <w:noWrap/>
            <w:hideMark/>
          </w:tcPr>
          <w:p w14:paraId="5015C0F3" w14:textId="77777777" w:rsidR="006846A8" w:rsidRPr="007D77C3" w:rsidRDefault="006846A8" w:rsidP="00044657">
            <w:pPr>
              <w:spacing w:after="0" w:line="240" w:lineRule="auto"/>
              <w:rPr>
                <w:rFonts w:ascii="Arial" w:eastAsia="Times New Roman" w:hAnsi="Arial" w:cs="Arial"/>
                <w:color w:val="000000"/>
              </w:rPr>
            </w:pPr>
            <w:r>
              <w:rPr>
                <w:rFonts w:ascii="Arial" w:eastAsia="Times New Roman" w:hAnsi="Arial" w:cs="Arial"/>
                <w:color w:val="000000"/>
              </w:rPr>
              <w:t>Hours to Antibiotics</w:t>
            </w:r>
          </w:p>
        </w:tc>
        <w:tc>
          <w:tcPr>
            <w:tcW w:w="2760" w:type="dxa"/>
            <w:shd w:val="clear" w:color="auto" w:fill="auto"/>
            <w:noWrap/>
            <w:hideMark/>
          </w:tcPr>
          <w:p w14:paraId="6D981CC4" w14:textId="77777777" w:rsidR="006846A8" w:rsidRPr="00D10285" w:rsidRDefault="006846A8" w:rsidP="00044657">
            <w:pPr>
              <w:spacing w:after="0" w:line="240" w:lineRule="auto"/>
              <w:jc w:val="center"/>
              <w:rPr>
                <w:rFonts w:ascii="Arial" w:eastAsia="Times New Roman" w:hAnsi="Arial" w:cs="Arial"/>
                <w:color w:val="000000"/>
              </w:rPr>
            </w:pPr>
            <w:r w:rsidRPr="00D10285">
              <w:rPr>
                <w:rFonts w:ascii="Arial" w:eastAsia="Times New Roman" w:hAnsi="Arial" w:cs="Arial"/>
                <w:color w:val="000000"/>
              </w:rPr>
              <w:t>0.99 [0.92-1.06]</w:t>
            </w:r>
          </w:p>
        </w:tc>
        <w:tc>
          <w:tcPr>
            <w:tcW w:w="1080" w:type="dxa"/>
            <w:shd w:val="clear" w:color="auto" w:fill="auto"/>
            <w:noWrap/>
            <w:hideMark/>
          </w:tcPr>
          <w:p w14:paraId="7F947A05" w14:textId="77777777" w:rsidR="006846A8" w:rsidRPr="00D10285" w:rsidRDefault="006846A8" w:rsidP="00044657">
            <w:pPr>
              <w:spacing w:after="0" w:line="240" w:lineRule="auto"/>
              <w:jc w:val="center"/>
              <w:rPr>
                <w:rFonts w:ascii="Arial" w:eastAsia="Times New Roman" w:hAnsi="Arial" w:cs="Arial"/>
                <w:color w:val="000000"/>
              </w:rPr>
            </w:pPr>
            <w:r w:rsidRPr="00D10285">
              <w:rPr>
                <w:rFonts w:ascii="Arial" w:eastAsia="Times New Roman" w:hAnsi="Arial" w:cs="Arial"/>
                <w:color w:val="000000"/>
              </w:rPr>
              <w:t>0.75</w:t>
            </w:r>
          </w:p>
        </w:tc>
        <w:tc>
          <w:tcPr>
            <w:tcW w:w="2711" w:type="dxa"/>
            <w:shd w:val="clear" w:color="auto" w:fill="auto"/>
            <w:noWrap/>
            <w:hideMark/>
          </w:tcPr>
          <w:p w14:paraId="7E1A0487" w14:textId="77777777" w:rsidR="006846A8" w:rsidRPr="00D10285" w:rsidRDefault="006846A8" w:rsidP="00044657">
            <w:pPr>
              <w:spacing w:after="0" w:line="240" w:lineRule="auto"/>
              <w:jc w:val="center"/>
              <w:rPr>
                <w:rFonts w:ascii="Arial" w:eastAsia="Times New Roman" w:hAnsi="Arial" w:cs="Arial"/>
                <w:color w:val="000000"/>
              </w:rPr>
            </w:pPr>
            <w:r w:rsidRPr="00D10285">
              <w:rPr>
                <w:rFonts w:ascii="Arial" w:eastAsia="Times New Roman" w:hAnsi="Arial" w:cs="Arial"/>
                <w:color w:val="000000"/>
              </w:rPr>
              <w:t>0.96 [0.88-1.05]</w:t>
            </w:r>
          </w:p>
        </w:tc>
        <w:tc>
          <w:tcPr>
            <w:tcW w:w="1177" w:type="dxa"/>
            <w:shd w:val="clear" w:color="auto" w:fill="auto"/>
            <w:noWrap/>
            <w:hideMark/>
          </w:tcPr>
          <w:p w14:paraId="472CB2D7" w14:textId="77777777" w:rsidR="006846A8" w:rsidRPr="00D10285" w:rsidRDefault="006846A8" w:rsidP="00044657">
            <w:pPr>
              <w:spacing w:after="0" w:line="240" w:lineRule="auto"/>
              <w:jc w:val="center"/>
              <w:rPr>
                <w:rFonts w:ascii="Arial" w:eastAsia="Times New Roman" w:hAnsi="Arial" w:cs="Arial"/>
                <w:color w:val="000000"/>
              </w:rPr>
            </w:pPr>
            <w:r w:rsidRPr="00D10285">
              <w:rPr>
                <w:rFonts w:ascii="Arial" w:eastAsia="Times New Roman" w:hAnsi="Arial" w:cs="Arial"/>
                <w:color w:val="000000"/>
              </w:rPr>
              <w:t>0.40</w:t>
            </w:r>
          </w:p>
        </w:tc>
      </w:tr>
      <w:tr w:rsidR="006846A8" w:rsidRPr="007D77C3" w14:paraId="3F342B0A" w14:textId="77777777" w:rsidTr="00044657">
        <w:trPr>
          <w:trHeight w:val="319"/>
        </w:trPr>
        <w:tc>
          <w:tcPr>
            <w:tcW w:w="3195" w:type="dxa"/>
            <w:shd w:val="clear" w:color="auto" w:fill="auto"/>
            <w:noWrap/>
            <w:hideMark/>
          </w:tcPr>
          <w:p w14:paraId="5D8362F6" w14:textId="77777777" w:rsidR="006846A8" w:rsidRPr="007D77C3" w:rsidRDefault="006846A8" w:rsidP="00044657">
            <w:pPr>
              <w:spacing w:after="0" w:line="240" w:lineRule="auto"/>
              <w:rPr>
                <w:rFonts w:ascii="Arial" w:eastAsia="Times New Roman" w:hAnsi="Arial" w:cs="Arial"/>
                <w:color w:val="000000"/>
              </w:rPr>
            </w:pPr>
            <w:r>
              <w:rPr>
                <w:rFonts w:ascii="Arial" w:eastAsia="Times New Roman" w:hAnsi="Arial" w:cs="Arial"/>
                <w:color w:val="000000"/>
              </w:rPr>
              <w:t>Hours to Crystalloid Initiation</w:t>
            </w:r>
          </w:p>
        </w:tc>
        <w:tc>
          <w:tcPr>
            <w:tcW w:w="2760" w:type="dxa"/>
            <w:shd w:val="clear" w:color="auto" w:fill="auto"/>
            <w:noWrap/>
            <w:hideMark/>
          </w:tcPr>
          <w:p w14:paraId="14785375"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0.96 [0.89-1.03]</w:t>
            </w:r>
          </w:p>
        </w:tc>
        <w:tc>
          <w:tcPr>
            <w:tcW w:w="1080" w:type="dxa"/>
            <w:shd w:val="clear" w:color="auto" w:fill="auto"/>
            <w:noWrap/>
            <w:hideMark/>
          </w:tcPr>
          <w:p w14:paraId="67266C0B"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0.21</w:t>
            </w:r>
          </w:p>
        </w:tc>
        <w:tc>
          <w:tcPr>
            <w:tcW w:w="2711" w:type="dxa"/>
            <w:shd w:val="clear" w:color="auto" w:fill="auto"/>
            <w:noWrap/>
            <w:hideMark/>
          </w:tcPr>
          <w:p w14:paraId="480BD935"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1.02 [0.93-1.11]</w:t>
            </w:r>
          </w:p>
        </w:tc>
        <w:tc>
          <w:tcPr>
            <w:tcW w:w="1177" w:type="dxa"/>
            <w:shd w:val="clear" w:color="auto" w:fill="auto"/>
            <w:noWrap/>
            <w:hideMark/>
          </w:tcPr>
          <w:p w14:paraId="09989FB9"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0.69</w:t>
            </w:r>
          </w:p>
        </w:tc>
      </w:tr>
      <w:tr w:rsidR="006846A8" w:rsidRPr="007D77C3" w14:paraId="298E56C3" w14:textId="77777777" w:rsidTr="00044657">
        <w:trPr>
          <w:trHeight w:val="319"/>
        </w:trPr>
        <w:tc>
          <w:tcPr>
            <w:tcW w:w="3195" w:type="dxa"/>
            <w:shd w:val="clear" w:color="auto" w:fill="auto"/>
            <w:noWrap/>
            <w:hideMark/>
          </w:tcPr>
          <w:p w14:paraId="4F63E643" w14:textId="77777777" w:rsidR="006846A8" w:rsidRPr="007D77C3" w:rsidRDefault="006846A8" w:rsidP="00044657">
            <w:pPr>
              <w:spacing w:after="0" w:line="240" w:lineRule="auto"/>
              <w:rPr>
                <w:rFonts w:ascii="Arial" w:eastAsia="Times New Roman" w:hAnsi="Arial" w:cs="Arial"/>
                <w:color w:val="000000"/>
              </w:rPr>
            </w:pPr>
            <w:r>
              <w:rPr>
                <w:rFonts w:ascii="Arial" w:eastAsia="Times New Roman" w:hAnsi="Arial" w:cs="Arial"/>
                <w:color w:val="000000"/>
              </w:rPr>
              <w:t>Volume of Initial Crystalloid (per 10 mL/kg)</w:t>
            </w:r>
          </w:p>
        </w:tc>
        <w:tc>
          <w:tcPr>
            <w:tcW w:w="2760" w:type="dxa"/>
            <w:shd w:val="clear" w:color="auto" w:fill="auto"/>
            <w:noWrap/>
            <w:hideMark/>
          </w:tcPr>
          <w:p w14:paraId="46858B0E" w14:textId="77777777" w:rsidR="006846A8" w:rsidRPr="00BA0C5A" w:rsidRDefault="006846A8" w:rsidP="00044657">
            <w:pPr>
              <w:spacing w:after="0" w:line="240" w:lineRule="auto"/>
              <w:jc w:val="center"/>
              <w:rPr>
                <w:rFonts w:ascii="Arial" w:eastAsia="Times New Roman" w:hAnsi="Arial" w:cs="Arial"/>
                <w:color w:val="000000"/>
              </w:rPr>
            </w:pPr>
            <w:r>
              <w:rPr>
                <w:rFonts w:ascii="Arial" w:eastAsia="Times New Roman" w:hAnsi="Arial" w:cs="Arial"/>
                <w:color w:val="000000"/>
              </w:rPr>
              <w:t>0</w:t>
            </w:r>
            <w:r w:rsidRPr="00BA0C5A">
              <w:rPr>
                <w:rFonts w:ascii="Arial" w:eastAsia="Times New Roman" w:hAnsi="Arial" w:cs="Arial"/>
                <w:color w:val="000000"/>
              </w:rPr>
              <w:t>.</w:t>
            </w:r>
            <w:r>
              <w:rPr>
                <w:rFonts w:ascii="Arial" w:eastAsia="Times New Roman" w:hAnsi="Arial" w:cs="Arial"/>
                <w:color w:val="000000"/>
              </w:rPr>
              <w:t>89</w:t>
            </w:r>
            <w:r w:rsidRPr="00BA0C5A">
              <w:rPr>
                <w:rFonts w:ascii="Arial" w:eastAsia="Times New Roman" w:hAnsi="Arial" w:cs="Arial"/>
                <w:color w:val="000000"/>
              </w:rPr>
              <w:t xml:space="preserve"> [0.</w:t>
            </w:r>
            <w:r>
              <w:rPr>
                <w:rFonts w:ascii="Arial" w:eastAsia="Times New Roman" w:hAnsi="Arial" w:cs="Arial"/>
                <w:color w:val="000000"/>
              </w:rPr>
              <w:t>82</w:t>
            </w:r>
            <w:r w:rsidRPr="00BA0C5A">
              <w:rPr>
                <w:rFonts w:ascii="Arial" w:eastAsia="Times New Roman" w:hAnsi="Arial" w:cs="Arial"/>
                <w:color w:val="000000"/>
              </w:rPr>
              <w:t>-</w:t>
            </w:r>
            <w:r>
              <w:rPr>
                <w:rFonts w:ascii="Arial" w:eastAsia="Times New Roman" w:hAnsi="Arial" w:cs="Arial"/>
                <w:color w:val="000000"/>
              </w:rPr>
              <w:t>0</w:t>
            </w:r>
            <w:r w:rsidRPr="00BA0C5A">
              <w:rPr>
                <w:rFonts w:ascii="Arial" w:eastAsia="Times New Roman" w:hAnsi="Arial" w:cs="Arial"/>
                <w:color w:val="000000"/>
              </w:rPr>
              <w:t>.</w:t>
            </w:r>
            <w:r>
              <w:rPr>
                <w:rFonts w:ascii="Arial" w:eastAsia="Times New Roman" w:hAnsi="Arial" w:cs="Arial"/>
                <w:color w:val="000000"/>
              </w:rPr>
              <w:t>9</w:t>
            </w:r>
            <w:r w:rsidRPr="00BA0C5A">
              <w:rPr>
                <w:rFonts w:ascii="Arial" w:eastAsia="Times New Roman" w:hAnsi="Arial" w:cs="Arial"/>
                <w:color w:val="000000"/>
              </w:rPr>
              <w:t>7]</w:t>
            </w:r>
          </w:p>
        </w:tc>
        <w:tc>
          <w:tcPr>
            <w:tcW w:w="1080" w:type="dxa"/>
            <w:shd w:val="clear" w:color="auto" w:fill="auto"/>
            <w:noWrap/>
            <w:hideMark/>
          </w:tcPr>
          <w:p w14:paraId="0C347573" w14:textId="77777777" w:rsidR="006846A8" w:rsidRPr="00BA0C5A" w:rsidRDefault="006846A8" w:rsidP="00044657">
            <w:pPr>
              <w:spacing w:after="0" w:line="240" w:lineRule="auto"/>
              <w:jc w:val="center"/>
              <w:rPr>
                <w:rFonts w:ascii="Arial" w:eastAsia="Times New Roman" w:hAnsi="Arial" w:cs="Arial"/>
                <w:color w:val="000000"/>
              </w:rPr>
            </w:pPr>
            <w:r w:rsidRPr="00BA0C5A">
              <w:rPr>
                <w:rFonts w:ascii="Arial" w:eastAsia="Times New Roman" w:hAnsi="Arial" w:cs="Arial"/>
                <w:color w:val="000000"/>
              </w:rPr>
              <w:t>0.</w:t>
            </w:r>
            <w:r>
              <w:rPr>
                <w:rFonts w:ascii="Arial" w:eastAsia="Times New Roman" w:hAnsi="Arial" w:cs="Arial"/>
                <w:color w:val="000000"/>
              </w:rPr>
              <w:t>007*</w:t>
            </w:r>
          </w:p>
        </w:tc>
        <w:tc>
          <w:tcPr>
            <w:tcW w:w="2711" w:type="dxa"/>
            <w:shd w:val="clear" w:color="auto" w:fill="auto"/>
            <w:noWrap/>
            <w:hideMark/>
          </w:tcPr>
          <w:p w14:paraId="538A7CB1" w14:textId="77777777" w:rsidR="006846A8" w:rsidRPr="00BA0C5A" w:rsidRDefault="006846A8" w:rsidP="00044657">
            <w:pPr>
              <w:spacing w:after="0" w:line="240" w:lineRule="auto"/>
              <w:jc w:val="center"/>
              <w:rPr>
                <w:rFonts w:ascii="Arial" w:eastAsia="Times New Roman" w:hAnsi="Arial" w:cs="Arial"/>
                <w:color w:val="000000"/>
              </w:rPr>
            </w:pPr>
            <w:r w:rsidRPr="00BA0C5A">
              <w:rPr>
                <w:rFonts w:ascii="Arial" w:eastAsia="Times New Roman" w:hAnsi="Arial" w:cs="Arial"/>
                <w:color w:val="000000"/>
              </w:rPr>
              <w:t>0.</w:t>
            </w:r>
            <w:r>
              <w:rPr>
                <w:rFonts w:ascii="Arial" w:eastAsia="Times New Roman" w:hAnsi="Arial" w:cs="Arial"/>
                <w:color w:val="000000"/>
              </w:rPr>
              <w:t>85</w:t>
            </w:r>
            <w:r w:rsidRPr="00BA0C5A">
              <w:rPr>
                <w:rFonts w:ascii="Arial" w:eastAsia="Times New Roman" w:hAnsi="Arial" w:cs="Arial"/>
                <w:color w:val="000000"/>
              </w:rPr>
              <w:t xml:space="preserve"> [0.</w:t>
            </w:r>
            <w:r>
              <w:rPr>
                <w:rFonts w:ascii="Arial" w:eastAsia="Times New Roman" w:hAnsi="Arial" w:cs="Arial"/>
                <w:color w:val="000000"/>
              </w:rPr>
              <w:t>76</w:t>
            </w:r>
            <w:r w:rsidRPr="00BA0C5A">
              <w:rPr>
                <w:rFonts w:ascii="Arial" w:eastAsia="Times New Roman" w:hAnsi="Arial" w:cs="Arial"/>
                <w:color w:val="000000"/>
              </w:rPr>
              <w:t>-0.</w:t>
            </w:r>
            <w:r>
              <w:rPr>
                <w:rFonts w:ascii="Arial" w:eastAsia="Times New Roman" w:hAnsi="Arial" w:cs="Arial"/>
                <w:color w:val="000000"/>
              </w:rPr>
              <w:t>94</w:t>
            </w:r>
            <w:r w:rsidRPr="00BA0C5A">
              <w:rPr>
                <w:rFonts w:ascii="Arial" w:eastAsia="Times New Roman" w:hAnsi="Arial" w:cs="Arial"/>
                <w:color w:val="000000"/>
              </w:rPr>
              <w:t>]</w:t>
            </w:r>
          </w:p>
        </w:tc>
        <w:tc>
          <w:tcPr>
            <w:tcW w:w="1177" w:type="dxa"/>
            <w:shd w:val="clear" w:color="auto" w:fill="auto"/>
            <w:noWrap/>
            <w:hideMark/>
          </w:tcPr>
          <w:p w14:paraId="02DE69D2" w14:textId="77777777" w:rsidR="006846A8" w:rsidRPr="00BA0C5A" w:rsidRDefault="006846A8" w:rsidP="00044657">
            <w:pPr>
              <w:spacing w:after="0" w:line="240" w:lineRule="auto"/>
              <w:jc w:val="center"/>
              <w:rPr>
                <w:rFonts w:ascii="Arial" w:eastAsia="Times New Roman" w:hAnsi="Arial" w:cs="Arial"/>
                <w:color w:val="000000"/>
              </w:rPr>
            </w:pPr>
            <w:r>
              <w:rPr>
                <w:rFonts w:ascii="Arial" w:eastAsia="Times New Roman" w:hAnsi="Arial" w:cs="Arial"/>
                <w:color w:val="000000"/>
              </w:rPr>
              <w:t>0.002</w:t>
            </w:r>
            <w:r w:rsidRPr="00BA0C5A">
              <w:rPr>
                <w:rFonts w:ascii="Arial" w:eastAsia="Times New Roman" w:hAnsi="Arial" w:cs="Arial"/>
                <w:color w:val="000000"/>
              </w:rPr>
              <w:t>*</w:t>
            </w:r>
          </w:p>
        </w:tc>
      </w:tr>
      <w:tr w:rsidR="006846A8" w:rsidRPr="007D77C3" w14:paraId="6B8A7E19" w14:textId="77777777" w:rsidTr="00044657">
        <w:trPr>
          <w:trHeight w:val="319"/>
        </w:trPr>
        <w:tc>
          <w:tcPr>
            <w:tcW w:w="3195" w:type="dxa"/>
            <w:shd w:val="clear" w:color="auto" w:fill="auto"/>
            <w:noWrap/>
            <w:hideMark/>
          </w:tcPr>
          <w:p w14:paraId="54A33688" w14:textId="77777777" w:rsidR="006846A8" w:rsidRPr="007D77C3" w:rsidRDefault="006846A8" w:rsidP="00044657">
            <w:pPr>
              <w:spacing w:after="0" w:line="240" w:lineRule="auto"/>
              <w:rPr>
                <w:rFonts w:ascii="Arial" w:eastAsia="Times New Roman" w:hAnsi="Arial" w:cs="Arial"/>
                <w:color w:val="000000"/>
              </w:rPr>
            </w:pPr>
            <w:r>
              <w:rPr>
                <w:rFonts w:ascii="Arial" w:eastAsia="Times New Roman" w:hAnsi="Arial" w:cs="Arial"/>
                <w:color w:val="000000"/>
              </w:rPr>
              <w:t>Blood Cultures Before Antibiotics</w:t>
            </w:r>
          </w:p>
        </w:tc>
        <w:tc>
          <w:tcPr>
            <w:tcW w:w="2760" w:type="dxa"/>
            <w:shd w:val="clear" w:color="auto" w:fill="auto"/>
            <w:noWrap/>
            <w:hideMark/>
          </w:tcPr>
          <w:p w14:paraId="146FD906"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0.81 [0.59-1.11]</w:t>
            </w:r>
          </w:p>
        </w:tc>
        <w:tc>
          <w:tcPr>
            <w:tcW w:w="1080" w:type="dxa"/>
            <w:shd w:val="clear" w:color="auto" w:fill="auto"/>
            <w:noWrap/>
            <w:hideMark/>
          </w:tcPr>
          <w:p w14:paraId="21E577F3"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0.18</w:t>
            </w:r>
          </w:p>
        </w:tc>
        <w:tc>
          <w:tcPr>
            <w:tcW w:w="2711" w:type="dxa"/>
            <w:shd w:val="clear" w:color="auto" w:fill="auto"/>
            <w:noWrap/>
            <w:hideMark/>
          </w:tcPr>
          <w:p w14:paraId="7B3764AA"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0.97 [0.65-1.45]</w:t>
            </w:r>
          </w:p>
        </w:tc>
        <w:tc>
          <w:tcPr>
            <w:tcW w:w="1177" w:type="dxa"/>
            <w:shd w:val="clear" w:color="auto" w:fill="auto"/>
            <w:noWrap/>
            <w:hideMark/>
          </w:tcPr>
          <w:p w14:paraId="171DC13A" w14:textId="77777777" w:rsidR="006846A8" w:rsidRPr="00270802" w:rsidRDefault="006846A8" w:rsidP="00044657">
            <w:pPr>
              <w:spacing w:after="0" w:line="240" w:lineRule="auto"/>
              <w:jc w:val="center"/>
              <w:rPr>
                <w:rFonts w:ascii="Arial" w:eastAsia="Times New Roman" w:hAnsi="Arial" w:cs="Arial"/>
                <w:color w:val="000000"/>
              </w:rPr>
            </w:pPr>
            <w:r w:rsidRPr="00270802">
              <w:rPr>
                <w:rFonts w:ascii="Arial" w:eastAsia="Times New Roman" w:hAnsi="Arial" w:cs="Arial"/>
                <w:color w:val="000000"/>
              </w:rPr>
              <w:t>0.87</w:t>
            </w:r>
          </w:p>
        </w:tc>
      </w:tr>
      <w:tr w:rsidR="006846A8" w:rsidRPr="007D77C3" w14:paraId="759CE7CF" w14:textId="77777777" w:rsidTr="00044657">
        <w:trPr>
          <w:trHeight w:val="207"/>
        </w:trPr>
        <w:tc>
          <w:tcPr>
            <w:tcW w:w="3195" w:type="dxa"/>
            <w:shd w:val="clear" w:color="auto" w:fill="auto"/>
            <w:noWrap/>
            <w:hideMark/>
          </w:tcPr>
          <w:p w14:paraId="3B146F7B" w14:textId="77777777" w:rsidR="006846A8" w:rsidRPr="007D77C3" w:rsidRDefault="006846A8" w:rsidP="00044657">
            <w:pPr>
              <w:spacing w:after="0" w:line="240" w:lineRule="auto"/>
              <w:rPr>
                <w:rFonts w:ascii="Arial" w:eastAsia="Times New Roman" w:hAnsi="Arial" w:cs="Arial"/>
                <w:color w:val="000000"/>
              </w:rPr>
            </w:pPr>
            <w:r>
              <w:rPr>
                <w:rFonts w:ascii="Arial" w:eastAsia="Times New Roman" w:hAnsi="Arial" w:cs="Arial"/>
                <w:color w:val="000000"/>
              </w:rPr>
              <w:t>Lactate Result in 90 minutes</w:t>
            </w:r>
          </w:p>
        </w:tc>
        <w:tc>
          <w:tcPr>
            <w:tcW w:w="2760" w:type="dxa"/>
            <w:shd w:val="clear" w:color="auto" w:fill="auto"/>
            <w:noWrap/>
            <w:hideMark/>
          </w:tcPr>
          <w:p w14:paraId="1A0598D4" w14:textId="77777777" w:rsidR="006846A8" w:rsidRPr="00EB5583" w:rsidRDefault="006846A8" w:rsidP="00044657">
            <w:pPr>
              <w:spacing w:after="0" w:line="240" w:lineRule="auto"/>
              <w:jc w:val="center"/>
              <w:rPr>
                <w:rFonts w:ascii="Arial" w:eastAsia="Times New Roman" w:hAnsi="Arial" w:cs="Arial"/>
                <w:color w:val="000000"/>
              </w:rPr>
            </w:pPr>
            <w:r w:rsidRPr="00EB5583">
              <w:rPr>
                <w:rFonts w:ascii="Arial" w:eastAsia="Times New Roman" w:hAnsi="Arial" w:cs="Arial"/>
                <w:color w:val="000000"/>
              </w:rPr>
              <w:t>2.66 [1.67-4.26]</w:t>
            </w:r>
          </w:p>
        </w:tc>
        <w:tc>
          <w:tcPr>
            <w:tcW w:w="1080" w:type="dxa"/>
            <w:shd w:val="clear" w:color="auto" w:fill="auto"/>
            <w:noWrap/>
            <w:hideMark/>
          </w:tcPr>
          <w:p w14:paraId="63C4BA01" w14:textId="77777777" w:rsidR="006846A8" w:rsidRPr="00EB5583" w:rsidRDefault="006846A8" w:rsidP="00044657">
            <w:pPr>
              <w:spacing w:after="0" w:line="240" w:lineRule="auto"/>
              <w:jc w:val="center"/>
              <w:rPr>
                <w:rFonts w:ascii="Arial" w:eastAsia="Times New Roman" w:hAnsi="Arial" w:cs="Arial"/>
                <w:color w:val="000000"/>
              </w:rPr>
            </w:pPr>
            <w:r w:rsidRPr="00EB5583">
              <w:rPr>
                <w:rFonts w:ascii="Arial" w:eastAsia="Times New Roman" w:hAnsi="Arial" w:cs="Arial"/>
                <w:color w:val="000000"/>
              </w:rPr>
              <w:t>&lt; 0.001*</w:t>
            </w:r>
          </w:p>
        </w:tc>
        <w:tc>
          <w:tcPr>
            <w:tcW w:w="2711" w:type="dxa"/>
            <w:shd w:val="clear" w:color="auto" w:fill="auto"/>
            <w:noWrap/>
            <w:hideMark/>
          </w:tcPr>
          <w:p w14:paraId="0D20B306" w14:textId="77777777" w:rsidR="006846A8" w:rsidRPr="00EB5583" w:rsidRDefault="006846A8" w:rsidP="00044657">
            <w:pPr>
              <w:spacing w:after="0" w:line="240" w:lineRule="auto"/>
              <w:jc w:val="center"/>
              <w:rPr>
                <w:rFonts w:ascii="Arial" w:eastAsia="Times New Roman" w:hAnsi="Arial" w:cs="Arial"/>
                <w:color w:val="000000"/>
              </w:rPr>
            </w:pPr>
            <w:r w:rsidRPr="00EB5583">
              <w:rPr>
                <w:rFonts w:ascii="Arial" w:eastAsia="Times New Roman" w:hAnsi="Arial" w:cs="Arial"/>
                <w:color w:val="000000"/>
              </w:rPr>
              <w:t>1.46 [0.80-2.62]</w:t>
            </w:r>
          </w:p>
        </w:tc>
        <w:tc>
          <w:tcPr>
            <w:tcW w:w="1177" w:type="dxa"/>
            <w:shd w:val="clear" w:color="auto" w:fill="auto"/>
            <w:noWrap/>
            <w:hideMark/>
          </w:tcPr>
          <w:p w14:paraId="3A80ADEB" w14:textId="77777777" w:rsidR="006846A8" w:rsidRPr="00EB5583" w:rsidRDefault="006846A8" w:rsidP="00044657">
            <w:pPr>
              <w:spacing w:after="0" w:line="240" w:lineRule="auto"/>
              <w:jc w:val="center"/>
              <w:rPr>
                <w:rFonts w:ascii="Arial" w:eastAsia="Times New Roman" w:hAnsi="Arial" w:cs="Arial"/>
                <w:color w:val="000000"/>
              </w:rPr>
            </w:pPr>
            <w:r w:rsidRPr="00EB5583">
              <w:rPr>
                <w:rFonts w:ascii="Arial" w:eastAsia="Times New Roman" w:hAnsi="Arial" w:cs="Arial"/>
                <w:color w:val="000000"/>
              </w:rPr>
              <w:t>0.23</w:t>
            </w:r>
          </w:p>
        </w:tc>
      </w:tr>
      <w:tr w:rsidR="006846A8" w:rsidRPr="007D77C3" w14:paraId="07297151" w14:textId="77777777" w:rsidTr="00044657">
        <w:trPr>
          <w:trHeight w:val="252"/>
        </w:trPr>
        <w:tc>
          <w:tcPr>
            <w:tcW w:w="3195" w:type="dxa"/>
            <w:shd w:val="clear" w:color="auto" w:fill="auto"/>
            <w:noWrap/>
          </w:tcPr>
          <w:p w14:paraId="1F75EF6E" w14:textId="77777777" w:rsidR="006846A8" w:rsidRPr="008B1700" w:rsidRDefault="006846A8" w:rsidP="00044657">
            <w:pPr>
              <w:spacing w:after="0" w:line="240" w:lineRule="auto"/>
              <w:rPr>
                <w:rFonts w:ascii="Arial" w:eastAsia="Times New Roman" w:hAnsi="Arial" w:cs="Arial"/>
                <w:color w:val="000000"/>
              </w:rPr>
            </w:pPr>
            <w:r w:rsidRPr="008B1700">
              <w:rPr>
                <w:rFonts w:ascii="Arial" w:eastAsia="Times New Roman" w:hAnsi="Arial" w:cs="Arial"/>
                <w:color w:val="000000"/>
              </w:rPr>
              <w:t>Repeat Lactate Obtained</w:t>
            </w:r>
          </w:p>
        </w:tc>
        <w:tc>
          <w:tcPr>
            <w:tcW w:w="2760" w:type="dxa"/>
            <w:shd w:val="clear" w:color="auto" w:fill="auto"/>
            <w:noWrap/>
          </w:tcPr>
          <w:p w14:paraId="0A6F12ED" w14:textId="77777777" w:rsidR="006846A8" w:rsidRPr="008B1700" w:rsidRDefault="006846A8" w:rsidP="00044657">
            <w:pPr>
              <w:spacing w:after="0" w:line="240" w:lineRule="auto"/>
              <w:jc w:val="center"/>
              <w:rPr>
                <w:rFonts w:ascii="Arial" w:eastAsia="Times New Roman" w:hAnsi="Arial" w:cs="Arial"/>
                <w:color w:val="000000"/>
              </w:rPr>
            </w:pPr>
            <w:r w:rsidRPr="008B1700">
              <w:rPr>
                <w:rFonts w:ascii="Arial" w:eastAsia="Times New Roman" w:hAnsi="Arial" w:cs="Arial"/>
                <w:color w:val="000000"/>
              </w:rPr>
              <w:t>1.27 [0.93-1.73]</w:t>
            </w:r>
          </w:p>
        </w:tc>
        <w:tc>
          <w:tcPr>
            <w:tcW w:w="1080" w:type="dxa"/>
            <w:shd w:val="clear" w:color="auto" w:fill="auto"/>
            <w:noWrap/>
          </w:tcPr>
          <w:p w14:paraId="6235B7E8" w14:textId="77777777" w:rsidR="006846A8" w:rsidRPr="008B1700" w:rsidRDefault="006846A8" w:rsidP="00044657">
            <w:pPr>
              <w:spacing w:after="0" w:line="240" w:lineRule="auto"/>
              <w:jc w:val="center"/>
              <w:rPr>
                <w:rFonts w:ascii="Arial" w:eastAsia="Times New Roman" w:hAnsi="Arial" w:cs="Arial"/>
                <w:color w:val="000000"/>
              </w:rPr>
            </w:pPr>
            <w:r w:rsidRPr="008B1700">
              <w:rPr>
                <w:rFonts w:ascii="Arial" w:eastAsia="Times New Roman" w:hAnsi="Arial" w:cs="Arial"/>
                <w:color w:val="000000"/>
              </w:rPr>
              <w:t>0.13</w:t>
            </w:r>
          </w:p>
        </w:tc>
        <w:tc>
          <w:tcPr>
            <w:tcW w:w="2711" w:type="dxa"/>
            <w:shd w:val="clear" w:color="auto" w:fill="auto"/>
            <w:noWrap/>
          </w:tcPr>
          <w:p w14:paraId="41DD26C2" w14:textId="77777777" w:rsidR="006846A8" w:rsidRPr="008B1700" w:rsidRDefault="006846A8" w:rsidP="00044657">
            <w:pPr>
              <w:spacing w:after="0" w:line="240" w:lineRule="auto"/>
              <w:jc w:val="center"/>
              <w:rPr>
                <w:rFonts w:ascii="Arial" w:eastAsia="Times New Roman" w:hAnsi="Arial" w:cs="Arial"/>
                <w:color w:val="000000"/>
              </w:rPr>
            </w:pPr>
            <w:r w:rsidRPr="008B1700">
              <w:rPr>
                <w:rFonts w:ascii="Arial" w:eastAsia="Times New Roman" w:hAnsi="Arial" w:cs="Arial"/>
                <w:color w:val="000000"/>
              </w:rPr>
              <w:t xml:space="preserve">1.18 [0.80-1.74 </w:t>
            </w:r>
          </w:p>
        </w:tc>
        <w:tc>
          <w:tcPr>
            <w:tcW w:w="1177" w:type="dxa"/>
            <w:shd w:val="clear" w:color="auto" w:fill="auto"/>
            <w:noWrap/>
          </w:tcPr>
          <w:p w14:paraId="5C24B465" w14:textId="77777777" w:rsidR="006846A8" w:rsidRPr="008B1700" w:rsidRDefault="006846A8" w:rsidP="00044657">
            <w:pPr>
              <w:spacing w:after="0" w:line="240" w:lineRule="auto"/>
              <w:jc w:val="center"/>
              <w:rPr>
                <w:rFonts w:ascii="Arial" w:eastAsia="Times New Roman" w:hAnsi="Arial" w:cs="Arial"/>
                <w:color w:val="000000"/>
              </w:rPr>
            </w:pPr>
            <w:r w:rsidRPr="008B1700">
              <w:rPr>
                <w:rFonts w:ascii="Arial" w:eastAsia="Times New Roman" w:hAnsi="Arial" w:cs="Arial"/>
                <w:color w:val="000000"/>
              </w:rPr>
              <w:t>0.41</w:t>
            </w:r>
          </w:p>
        </w:tc>
      </w:tr>
      <w:tr w:rsidR="00044657" w:rsidRPr="007D77C3" w14:paraId="2F04B018" w14:textId="77777777" w:rsidTr="00044657">
        <w:trPr>
          <w:trHeight w:val="252"/>
        </w:trPr>
        <w:tc>
          <w:tcPr>
            <w:tcW w:w="3195" w:type="dxa"/>
            <w:shd w:val="clear" w:color="auto" w:fill="auto"/>
            <w:noWrap/>
          </w:tcPr>
          <w:p w14:paraId="159D7450" w14:textId="183E72C0" w:rsidR="00044657" w:rsidRPr="008B1700" w:rsidRDefault="00044657" w:rsidP="00044657">
            <w:pPr>
              <w:spacing w:after="0" w:line="240" w:lineRule="auto"/>
              <w:rPr>
                <w:rFonts w:ascii="Arial" w:eastAsia="Times New Roman" w:hAnsi="Arial" w:cs="Arial"/>
                <w:color w:val="000000"/>
              </w:rPr>
            </w:pPr>
            <w:r>
              <w:rPr>
                <w:rFonts w:ascii="Arial" w:eastAsia="Times New Roman" w:hAnsi="Arial" w:cs="Arial"/>
                <w:color w:val="000000"/>
              </w:rPr>
              <w:t xml:space="preserve">Full Bundle Compliance </w:t>
            </w:r>
            <w:r w:rsidRPr="00195981">
              <w:rPr>
                <w:rFonts w:ascii="Arial" w:eastAsia="Times New Roman" w:hAnsi="Arial" w:cs="Arial"/>
                <w:color w:val="000000"/>
                <w:vertAlign w:val="subscript"/>
              </w:rPr>
              <w:t>(</w:t>
            </w:r>
            <w:r w:rsidRPr="00044657">
              <w:rPr>
                <w:rFonts w:ascii="Arial" w:eastAsia="Times New Roman" w:hAnsi="Arial" w:cs="Arial"/>
                <w:color w:val="000000"/>
                <w:vertAlign w:val="subscript"/>
              </w:rPr>
              <w:t>Local B</w:t>
            </w:r>
            <w:r w:rsidRPr="00195981">
              <w:rPr>
                <w:rFonts w:ascii="Arial" w:eastAsia="Times New Roman" w:hAnsi="Arial" w:cs="Arial"/>
                <w:color w:val="000000"/>
                <w:vertAlign w:val="subscript"/>
              </w:rPr>
              <w:t>undle)</w:t>
            </w:r>
          </w:p>
        </w:tc>
        <w:tc>
          <w:tcPr>
            <w:tcW w:w="2760" w:type="dxa"/>
            <w:shd w:val="clear" w:color="auto" w:fill="auto"/>
            <w:noWrap/>
          </w:tcPr>
          <w:p w14:paraId="5483EF49" w14:textId="6F918BE8" w:rsidR="00044657" w:rsidRPr="008B1700" w:rsidRDefault="00044657" w:rsidP="00044657">
            <w:pPr>
              <w:spacing w:after="0" w:line="240" w:lineRule="auto"/>
              <w:jc w:val="center"/>
              <w:rPr>
                <w:rFonts w:ascii="Arial" w:eastAsia="Times New Roman" w:hAnsi="Arial" w:cs="Arial"/>
                <w:color w:val="000000"/>
              </w:rPr>
            </w:pPr>
            <w:r w:rsidRPr="000D39A1">
              <w:rPr>
                <w:rFonts w:ascii="Arial" w:eastAsia="Times New Roman" w:hAnsi="Arial" w:cs="Arial"/>
                <w:color w:val="000000"/>
              </w:rPr>
              <w:t>1.18 [0.79-1.76]</w:t>
            </w:r>
          </w:p>
        </w:tc>
        <w:tc>
          <w:tcPr>
            <w:tcW w:w="1080" w:type="dxa"/>
            <w:shd w:val="clear" w:color="auto" w:fill="auto"/>
            <w:noWrap/>
          </w:tcPr>
          <w:p w14:paraId="647FB5A2" w14:textId="3DB1260A" w:rsidR="00044657" w:rsidRPr="008B1700" w:rsidRDefault="00044657" w:rsidP="00044657">
            <w:pPr>
              <w:spacing w:after="0" w:line="240" w:lineRule="auto"/>
              <w:jc w:val="center"/>
              <w:rPr>
                <w:rFonts w:ascii="Arial" w:eastAsia="Times New Roman" w:hAnsi="Arial" w:cs="Arial"/>
                <w:color w:val="000000"/>
              </w:rPr>
            </w:pPr>
            <w:r w:rsidRPr="000D39A1">
              <w:rPr>
                <w:rFonts w:ascii="Arial" w:eastAsia="Times New Roman" w:hAnsi="Arial" w:cs="Arial"/>
                <w:color w:val="000000"/>
              </w:rPr>
              <w:t>0.43</w:t>
            </w:r>
          </w:p>
        </w:tc>
        <w:tc>
          <w:tcPr>
            <w:tcW w:w="2711" w:type="dxa"/>
            <w:shd w:val="clear" w:color="auto" w:fill="auto"/>
            <w:noWrap/>
          </w:tcPr>
          <w:p w14:paraId="1267FA32" w14:textId="500D10B1" w:rsidR="00044657" w:rsidRPr="008B1700" w:rsidRDefault="00044657" w:rsidP="00044657">
            <w:pPr>
              <w:spacing w:after="0" w:line="240" w:lineRule="auto"/>
              <w:jc w:val="center"/>
              <w:rPr>
                <w:rFonts w:ascii="Arial" w:eastAsia="Times New Roman" w:hAnsi="Arial" w:cs="Arial"/>
                <w:color w:val="000000"/>
              </w:rPr>
            </w:pPr>
            <w:r w:rsidRPr="000D39A1">
              <w:rPr>
                <w:rFonts w:ascii="Arial" w:eastAsia="Times New Roman" w:hAnsi="Arial" w:cs="Arial"/>
                <w:color w:val="000000"/>
              </w:rPr>
              <w:t>1.31 [0.80-2.15]</w:t>
            </w:r>
          </w:p>
        </w:tc>
        <w:tc>
          <w:tcPr>
            <w:tcW w:w="1177" w:type="dxa"/>
            <w:shd w:val="clear" w:color="auto" w:fill="auto"/>
            <w:noWrap/>
          </w:tcPr>
          <w:p w14:paraId="39F60AAF" w14:textId="204645F2" w:rsidR="00044657" w:rsidRPr="008B1700" w:rsidRDefault="00044657" w:rsidP="00044657">
            <w:pPr>
              <w:spacing w:after="0" w:line="240" w:lineRule="auto"/>
              <w:jc w:val="center"/>
              <w:rPr>
                <w:rFonts w:ascii="Arial" w:eastAsia="Times New Roman" w:hAnsi="Arial" w:cs="Arial"/>
                <w:color w:val="000000"/>
              </w:rPr>
            </w:pPr>
            <w:r w:rsidRPr="000D39A1">
              <w:rPr>
                <w:rFonts w:ascii="Arial" w:eastAsia="Times New Roman" w:hAnsi="Arial" w:cs="Arial"/>
                <w:color w:val="000000"/>
              </w:rPr>
              <w:t>0.28</w:t>
            </w:r>
          </w:p>
        </w:tc>
      </w:tr>
      <w:tr w:rsidR="00044657" w:rsidRPr="007D77C3" w14:paraId="361C1821" w14:textId="77777777" w:rsidTr="00044657">
        <w:trPr>
          <w:trHeight w:val="319"/>
        </w:trPr>
        <w:tc>
          <w:tcPr>
            <w:tcW w:w="3195" w:type="dxa"/>
            <w:tcBorders>
              <w:bottom w:val="single" w:sz="4" w:space="0" w:color="auto"/>
            </w:tcBorders>
            <w:shd w:val="clear" w:color="auto" w:fill="auto"/>
            <w:noWrap/>
          </w:tcPr>
          <w:p w14:paraId="5BECF61C" w14:textId="6A93774E" w:rsidR="00044657" w:rsidRPr="007D77C3" w:rsidRDefault="00044657" w:rsidP="00044657">
            <w:pPr>
              <w:spacing w:after="0" w:line="240" w:lineRule="auto"/>
              <w:rPr>
                <w:rFonts w:ascii="Arial" w:eastAsia="Times New Roman" w:hAnsi="Arial" w:cs="Arial"/>
                <w:color w:val="000000"/>
              </w:rPr>
            </w:pPr>
            <w:r>
              <w:rPr>
                <w:rFonts w:ascii="Arial" w:eastAsia="Times New Roman" w:hAnsi="Arial" w:cs="Arial"/>
                <w:color w:val="000000"/>
              </w:rPr>
              <w:t xml:space="preserve">Full Bundle Compliance </w:t>
            </w:r>
            <w:r w:rsidRPr="00195981">
              <w:rPr>
                <w:rFonts w:ascii="Arial" w:eastAsia="Times New Roman" w:hAnsi="Arial" w:cs="Arial"/>
                <w:color w:val="000000"/>
                <w:vertAlign w:val="subscript"/>
              </w:rPr>
              <w:t>(SSC Bundle)</w:t>
            </w:r>
          </w:p>
        </w:tc>
        <w:tc>
          <w:tcPr>
            <w:tcW w:w="2760" w:type="dxa"/>
            <w:tcBorders>
              <w:bottom w:val="single" w:sz="4" w:space="0" w:color="auto"/>
            </w:tcBorders>
            <w:shd w:val="clear" w:color="auto" w:fill="auto"/>
            <w:noWrap/>
          </w:tcPr>
          <w:p w14:paraId="2CAA672A" w14:textId="59EB0034" w:rsidR="00044657" w:rsidRPr="000D39A1" w:rsidRDefault="00044657" w:rsidP="00044657">
            <w:pPr>
              <w:spacing w:after="0" w:line="240" w:lineRule="auto"/>
              <w:jc w:val="center"/>
              <w:rPr>
                <w:rFonts w:ascii="Arial" w:eastAsia="Times New Roman" w:hAnsi="Arial" w:cs="Arial"/>
                <w:color w:val="000000"/>
              </w:rPr>
            </w:pPr>
            <w:r>
              <w:rPr>
                <w:rFonts w:ascii="Arial" w:eastAsia="Times New Roman" w:hAnsi="Arial" w:cs="Arial"/>
                <w:color w:val="000000"/>
              </w:rPr>
              <w:t>0.94 [0.66-1.33]</w:t>
            </w:r>
          </w:p>
        </w:tc>
        <w:tc>
          <w:tcPr>
            <w:tcW w:w="1080" w:type="dxa"/>
            <w:tcBorders>
              <w:bottom w:val="single" w:sz="4" w:space="0" w:color="auto"/>
            </w:tcBorders>
            <w:shd w:val="clear" w:color="auto" w:fill="auto"/>
            <w:noWrap/>
          </w:tcPr>
          <w:p w14:paraId="20448BAE" w14:textId="36543FC1" w:rsidR="00044657" w:rsidRPr="000D39A1" w:rsidRDefault="00044657" w:rsidP="00044657">
            <w:pPr>
              <w:spacing w:after="0" w:line="240" w:lineRule="auto"/>
              <w:jc w:val="center"/>
              <w:rPr>
                <w:rFonts w:ascii="Arial" w:eastAsia="Times New Roman" w:hAnsi="Arial" w:cs="Arial"/>
                <w:color w:val="000000"/>
              </w:rPr>
            </w:pPr>
            <w:r>
              <w:rPr>
                <w:rFonts w:ascii="Arial" w:eastAsia="Times New Roman" w:hAnsi="Arial" w:cs="Arial"/>
                <w:color w:val="000000"/>
              </w:rPr>
              <w:t>0.97</w:t>
            </w:r>
          </w:p>
        </w:tc>
        <w:tc>
          <w:tcPr>
            <w:tcW w:w="2711" w:type="dxa"/>
            <w:tcBorders>
              <w:bottom w:val="single" w:sz="4" w:space="0" w:color="auto"/>
            </w:tcBorders>
            <w:shd w:val="clear" w:color="auto" w:fill="auto"/>
            <w:noWrap/>
          </w:tcPr>
          <w:p w14:paraId="00AF4863" w14:textId="7E482643" w:rsidR="00044657" w:rsidRPr="000D39A1" w:rsidRDefault="00044657" w:rsidP="00044657">
            <w:pPr>
              <w:spacing w:after="0" w:line="240" w:lineRule="auto"/>
              <w:jc w:val="center"/>
              <w:rPr>
                <w:rFonts w:ascii="Arial" w:eastAsia="Times New Roman" w:hAnsi="Arial" w:cs="Arial"/>
                <w:color w:val="000000"/>
              </w:rPr>
            </w:pPr>
            <w:r>
              <w:rPr>
                <w:rFonts w:ascii="Arial" w:eastAsia="Times New Roman" w:hAnsi="Arial" w:cs="Arial"/>
                <w:color w:val="000000"/>
              </w:rPr>
              <w:t>1.28 [0.82-2.00]</w:t>
            </w:r>
          </w:p>
        </w:tc>
        <w:tc>
          <w:tcPr>
            <w:tcW w:w="1177" w:type="dxa"/>
            <w:tcBorders>
              <w:bottom w:val="single" w:sz="4" w:space="0" w:color="auto"/>
            </w:tcBorders>
            <w:shd w:val="clear" w:color="auto" w:fill="auto"/>
            <w:noWrap/>
          </w:tcPr>
          <w:p w14:paraId="5F78BDF4" w14:textId="30F0C284" w:rsidR="00044657" w:rsidRPr="000D39A1" w:rsidRDefault="00044657" w:rsidP="00044657">
            <w:pPr>
              <w:spacing w:after="0" w:line="240" w:lineRule="auto"/>
              <w:jc w:val="center"/>
              <w:rPr>
                <w:rFonts w:ascii="Arial" w:eastAsia="Times New Roman" w:hAnsi="Arial" w:cs="Arial"/>
                <w:color w:val="000000"/>
              </w:rPr>
            </w:pPr>
            <w:r>
              <w:rPr>
                <w:rFonts w:ascii="Arial" w:eastAsia="Times New Roman" w:hAnsi="Arial" w:cs="Arial"/>
                <w:color w:val="000000"/>
              </w:rPr>
              <w:t>0.27</w:t>
            </w:r>
          </w:p>
        </w:tc>
      </w:tr>
      <w:tr w:rsidR="00044657" w:rsidRPr="007D77C3" w14:paraId="6186CB04" w14:textId="77777777" w:rsidTr="00044657">
        <w:trPr>
          <w:trHeight w:val="319"/>
        </w:trPr>
        <w:tc>
          <w:tcPr>
            <w:tcW w:w="10923" w:type="dxa"/>
            <w:gridSpan w:val="5"/>
            <w:tcBorders>
              <w:top w:val="single" w:sz="4" w:space="0" w:color="auto"/>
              <w:bottom w:val="single" w:sz="4" w:space="0" w:color="auto"/>
            </w:tcBorders>
            <w:shd w:val="clear" w:color="auto" w:fill="auto"/>
            <w:noWrap/>
            <w:vAlign w:val="bottom"/>
          </w:tcPr>
          <w:p w14:paraId="6ED66ACC" w14:textId="1DB17859" w:rsidR="00044657" w:rsidRDefault="00044657" w:rsidP="00044657">
            <w:pPr>
              <w:spacing w:after="0" w:line="240" w:lineRule="auto"/>
              <w:rPr>
                <w:rFonts w:ascii="Arial" w:eastAsia="Times New Roman" w:hAnsi="Arial" w:cs="Arial"/>
                <w:color w:val="000000"/>
                <w:sz w:val="20"/>
              </w:rPr>
            </w:pPr>
            <w:r>
              <w:rPr>
                <w:rFonts w:ascii="Arial" w:eastAsia="Times New Roman" w:hAnsi="Arial" w:cs="Arial"/>
                <w:color w:val="000000"/>
                <w:sz w:val="20"/>
                <w:u w:val="single"/>
              </w:rPr>
              <w:t>Definitions:</w:t>
            </w:r>
            <w:r>
              <w:rPr>
                <w:rFonts w:ascii="Arial" w:eastAsia="Times New Roman" w:hAnsi="Arial" w:cs="Arial"/>
                <w:color w:val="000000"/>
                <w:sz w:val="20"/>
              </w:rPr>
              <w:t xml:space="preserve"> ED – emergency department, CI – confidence interval</w:t>
            </w:r>
            <w:r w:rsidR="00731B63">
              <w:rPr>
                <w:rFonts w:ascii="Arial" w:eastAsia="Times New Roman" w:hAnsi="Arial" w:cs="Arial"/>
                <w:color w:val="000000"/>
                <w:sz w:val="20"/>
              </w:rPr>
              <w:t>, SSC – Surviving Sepsis Campaign</w:t>
            </w:r>
            <w:r>
              <w:rPr>
                <w:rFonts w:ascii="Arial" w:eastAsia="Times New Roman" w:hAnsi="Arial" w:cs="Arial"/>
                <w:color w:val="000000"/>
                <w:sz w:val="20"/>
              </w:rPr>
              <w:t>.</w:t>
            </w:r>
          </w:p>
          <w:p w14:paraId="32CC18E2" w14:textId="77777777" w:rsidR="00044657" w:rsidRPr="00C26C22" w:rsidRDefault="00044657" w:rsidP="00044657">
            <w:pPr>
              <w:spacing w:after="0" w:line="240" w:lineRule="auto"/>
              <w:rPr>
                <w:rFonts w:ascii="Arial" w:eastAsia="Times New Roman" w:hAnsi="Arial" w:cs="Arial"/>
                <w:color w:val="000000"/>
                <w:sz w:val="20"/>
              </w:rPr>
            </w:pPr>
          </w:p>
          <w:p w14:paraId="5AE36AD8" w14:textId="77777777" w:rsidR="00044657" w:rsidRPr="007D77C3" w:rsidRDefault="00044657" w:rsidP="00044657">
            <w:pPr>
              <w:spacing w:after="0" w:line="240" w:lineRule="auto"/>
              <w:rPr>
                <w:rFonts w:ascii="Arial" w:eastAsia="Times New Roman" w:hAnsi="Arial" w:cs="Arial"/>
                <w:color w:val="000000"/>
              </w:rPr>
            </w:pPr>
            <w:r w:rsidRPr="00FC31D2">
              <w:rPr>
                <w:rFonts w:ascii="Arial" w:eastAsia="Times New Roman" w:hAnsi="Arial" w:cs="Arial"/>
                <w:color w:val="000000"/>
                <w:sz w:val="20"/>
              </w:rPr>
              <w:t xml:space="preserve">The </w:t>
            </w:r>
            <w:r>
              <w:rPr>
                <w:rFonts w:ascii="Arial" w:eastAsia="Times New Roman" w:hAnsi="Arial" w:cs="Arial"/>
                <w:color w:val="000000"/>
                <w:sz w:val="20"/>
              </w:rPr>
              <w:t>tabulated values are the interaction coefficients with 95% confidence intervals and p-interaction values from the multivariable models. The interaction coefficient is the ratio of odds-ratios for Hospital vs. ED-presenting sepsis at the different levels of the bundle exposure. An interaction coefficient &gt;1.0 indicates that the association of Hospital-presenting sepsis is quantitatively larger (greater differential effect) when the bundle element was present compared to when it was not, and visa-versa. For example, the significant interaction between hospital presentation and initial crystalloid volume indicates that as the volume of crystalloid increased (per 10 mL/kg), the strength of association between hospital sepsis presentation (vs. ED) and risk of in-hospital death significantly decreased (by a factor of 0.89).</w:t>
            </w:r>
          </w:p>
        </w:tc>
      </w:tr>
    </w:tbl>
    <w:p w14:paraId="367E8D86" w14:textId="77777777" w:rsidR="006846A8" w:rsidRDefault="006846A8"/>
    <w:p w14:paraId="6B227FEC" w14:textId="3B22069D" w:rsidR="00CF4457" w:rsidRDefault="00CF4457"/>
    <w:p w14:paraId="3B987A89" w14:textId="10DBA351" w:rsidR="00291D6E" w:rsidRDefault="00291D6E"/>
    <w:sectPr w:rsidR="00291D6E" w:rsidSect="00900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6FF"/>
    <w:multiLevelType w:val="hybridMultilevel"/>
    <w:tmpl w:val="9890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1EF8"/>
    <w:multiLevelType w:val="hybridMultilevel"/>
    <w:tmpl w:val="9890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78"/>
    <w:rsid w:val="000313AA"/>
    <w:rsid w:val="00044657"/>
    <w:rsid w:val="000D39A1"/>
    <w:rsid w:val="001723D0"/>
    <w:rsid w:val="00195981"/>
    <w:rsid w:val="001D1DFF"/>
    <w:rsid w:val="0025727B"/>
    <w:rsid w:val="00264792"/>
    <w:rsid w:val="00270802"/>
    <w:rsid w:val="00291D6E"/>
    <w:rsid w:val="00366E88"/>
    <w:rsid w:val="00447BE3"/>
    <w:rsid w:val="004E05FA"/>
    <w:rsid w:val="00576894"/>
    <w:rsid w:val="00590889"/>
    <w:rsid w:val="006846A8"/>
    <w:rsid w:val="006971B7"/>
    <w:rsid w:val="006A7DBC"/>
    <w:rsid w:val="00727229"/>
    <w:rsid w:val="00731B63"/>
    <w:rsid w:val="0079070F"/>
    <w:rsid w:val="007A6742"/>
    <w:rsid w:val="00855CC4"/>
    <w:rsid w:val="008B1700"/>
    <w:rsid w:val="008F0F6E"/>
    <w:rsid w:val="008F4963"/>
    <w:rsid w:val="00900B78"/>
    <w:rsid w:val="00937B16"/>
    <w:rsid w:val="009960F9"/>
    <w:rsid w:val="00A116E5"/>
    <w:rsid w:val="00A76EC8"/>
    <w:rsid w:val="00AB0DBD"/>
    <w:rsid w:val="00B95302"/>
    <w:rsid w:val="00BA0C5A"/>
    <w:rsid w:val="00C148F7"/>
    <w:rsid w:val="00CB3994"/>
    <w:rsid w:val="00CF4457"/>
    <w:rsid w:val="00CF4DF8"/>
    <w:rsid w:val="00D10285"/>
    <w:rsid w:val="00D776BA"/>
    <w:rsid w:val="00DD1BAF"/>
    <w:rsid w:val="00E56D2A"/>
    <w:rsid w:val="00EB5583"/>
    <w:rsid w:val="00EB77F1"/>
    <w:rsid w:val="00F8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FCF67"/>
  <w15:docId w15:val="{1E487CD7-D562-459D-960D-1B07B227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78"/>
    <w:pPr>
      <w:ind w:left="720"/>
      <w:contextualSpacing/>
    </w:pPr>
  </w:style>
  <w:style w:type="table" w:styleId="TableGrid">
    <w:name w:val="Table Grid"/>
    <w:basedOn w:val="TableNormal"/>
    <w:uiPriority w:val="59"/>
    <w:rsid w:val="0090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7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7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2204</Words>
  <Characters>12566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Leisman</dc:creator>
  <cp:lastModifiedBy>Susan Hite</cp:lastModifiedBy>
  <cp:revision>2</cp:revision>
  <dcterms:created xsi:type="dcterms:W3CDTF">2019-03-05T18:56:00Z</dcterms:created>
  <dcterms:modified xsi:type="dcterms:W3CDTF">2019-03-05T18:56:00Z</dcterms:modified>
</cp:coreProperties>
</file>