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BE633" w14:textId="77777777" w:rsidR="00922000" w:rsidRPr="00031F1F" w:rsidRDefault="00922000" w:rsidP="00922000">
      <w:pPr>
        <w:rPr>
          <w:rFonts w:ascii="Times New Roman" w:hAnsi="Times New Roman" w:cs="Times New Roman"/>
          <w:b/>
          <w:szCs w:val="18"/>
        </w:rPr>
      </w:pPr>
      <w:r w:rsidRPr="00031F1F">
        <w:rPr>
          <w:rFonts w:ascii="Times New Roman" w:hAnsi="Times New Roman" w:cs="Times New Roman"/>
          <w:b/>
          <w:bCs/>
          <w:szCs w:val="18"/>
        </w:rPr>
        <w:t xml:space="preserve">Appendix Figure. </w:t>
      </w:r>
      <w:r w:rsidRPr="00031F1F">
        <w:rPr>
          <w:rFonts w:ascii="Times New Roman" w:hAnsi="Times New Roman" w:cs="Times New Roman"/>
          <w:b/>
          <w:szCs w:val="18"/>
        </w:rPr>
        <w:t>Overlapping Patient Episodes between Medicare ACO and Bundled Payment Participants</w:t>
      </w:r>
      <w:r w:rsidRPr="00031F1F">
        <w:rPr>
          <w:rFonts w:ascii="Times New Roman" w:hAnsi="Times New Roman" w:cs="Times New Roman"/>
          <w:b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2000" w:rsidRPr="00031F1F" w14:paraId="474B3A91" w14:textId="77777777" w:rsidTr="00F34740">
        <w:tc>
          <w:tcPr>
            <w:tcW w:w="9350" w:type="dxa"/>
          </w:tcPr>
          <w:p w14:paraId="571B2444" w14:textId="77777777" w:rsidR="00922000" w:rsidRPr="00031F1F" w:rsidRDefault="00922000" w:rsidP="00F34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F1F">
              <w:rPr>
                <w:rFonts w:ascii="Times New Roman" w:hAnsi="Times New Roman" w:cs="Times New Roman"/>
                <w:b/>
                <w:sz w:val="20"/>
                <w:szCs w:val="20"/>
              </w:rPr>
              <w:t>Panel A. Overlap facing ACOs-the percentage of ACO-attributed patients who received care at bundled payment hospitals.</w:t>
            </w:r>
          </w:p>
        </w:tc>
      </w:tr>
      <w:tr w:rsidR="00922000" w:rsidRPr="00031F1F" w14:paraId="60EFDA1E" w14:textId="77777777" w:rsidTr="00F34740">
        <w:tc>
          <w:tcPr>
            <w:tcW w:w="9350" w:type="dxa"/>
          </w:tcPr>
          <w:p w14:paraId="2C129BCD" w14:textId="77777777" w:rsidR="00922000" w:rsidRPr="00031F1F" w:rsidRDefault="00922000" w:rsidP="00F3474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Cs w:val="18"/>
                <w:lang w:eastAsia="en-US"/>
              </w:rPr>
              <w:drawing>
                <wp:inline distT="0" distB="0" distL="0" distR="0" wp14:anchorId="121ED8DD" wp14:editId="44725CA5">
                  <wp:extent cx="4800600" cy="3467100"/>
                  <wp:effectExtent l="0" t="0" r="0" b="0"/>
                  <wp:docPr id="1" name="Picture 1" descr="bundle_trends_ac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le_trends_ac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000" w:rsidRPr="00031F1F" w14:paraId="5BCCCF2E" w14:textId="77777777" w:rsidTr="00F34740">
        <w:tc>
          <w:tcPr>
            <w:tcW w:w="9350" w:type="dxa"/>
          </w:tcPr>
          <w:p w14:paraId="6C8F9826" w14:textId="77777777" w:rsidR="00922000" w:rsidRPr="00031F1F" w:rsidRDefault="00922000" w:rsidP="00F34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F1F">
              <w:rPr>
                <w:rFonts w:ascii="Times New Roman" w:hAnsi="Times New Roman" w:cs="Times New Roman"/>
                <w:b/>
                <w:sz w:val="20"/>
                <w:szCs w:val="20"/>
              </w:rPr>
              <w:t>Panel B. Overlap facing bundled payment hospitals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31F1F">
              <w:rPr>
                <w:rFonts w:ascii="Times New Roman" w:hAnsi="Times New Roman" w:cs="Times New Roman"/>
                <w:b/>
                <w:sz w:val="20"/>
                <w:szCs w:val="20"/>
              </w:rPr>
              <w:t>the percentage of patients receiving care at bundled payment hospitals who were attributed to ACOs.</w:t>
            </w:r>
          </w:p>
        </w:tc>
      </w:tr>
      <w:tr w:rsidR="00922000" w:rsidRPr="00031F1F" w14:paraId="1D848D76" w14:textId="77777777" w:rsidTr="00F34740">
        <w:tc>
          <w:tcPr>
            <w:tcW w:w="9350" w:type="dxa"/>
          </w:tcPr>
          <w:p w14:paraId="5B350EC5" w14:textId="77777777" w:rsidR="00922000" w:rsidRPr="00031F1F" w:rsidRDefault="00922000" w:rsidP="00F3474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Cs w:val="18"/>
                <w:lang w:eastAsia="en-US"/>
              </w:rPr>
              <w:drawing>
                <wp:inline distT="0" distB="0" distL="0" distR="0" wp14:anchorId="7258EEEB" wp14:editId="58D2AA6D">
                  <wp:extent cx="4772025" cy="3467100"/>
                  <wp:effectExtent l="0" t="0" r="9525" b="0"/>
                  <wp:docPr id="2" name="Picture 2" descr="bundle_trends_bp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ndle_trends_bp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000" w:rsidRPr="00C61D7F" w14:paraId="006C6F51" w14:textId="77777777" w:rsidTr="00F34740">
        <w:tc>
          <w:tcPr>
            <w:tcW w:w="9350" w:type="dxa"/>
          </w:tcPr>
          <w:p w14:paraId="01339EF2" w14:textId="77777777" w:rsidR="00922000" w:rsidRPr="00031F1F" w:rsidRDefault="00922000" w:rsidP="00F34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1F">
              <w:rPr>
                <w:rFonts w:ascii="Times New Roman" w:hAnsi="Times New Roman" w:cs="Times New Roman"/>
                <w:b/>
                <w:sz w:val="20"/>
                <w:szCs w:val="20"/>
              </w:rPr>
              <w:t>Legend: Figure. Overlapping Patient Episodes between Medicare ACO and Bundled Payment Participants</w:t>
            </w:r>
            <w:r w:rsidRPr="00031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654A6F" w14:textId="77777777" w:rsidR="00922000" w:rsidRPr="00031F1F" w:rsidRDefault="00922000" w:rsidP="00F34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Panel A. Overlap facing ACOs-the percentage of ACO-attributed patients who received care at bundled payment hospitals.</w:t>
            </w:r>
            <w:r w:rsidRPr="00031F1F">
              <w:rPr>
                <w:rFonts w:ascii="Times New Roman" w:hAnsi="Times New Roman" w:cs="Times New Roman"/>
                <w:sz w:val="20"/>
                <w:szCs w:val="20"/>
              </w:rPr>
              <w:t xml:space="preserve"> Panel A illustrates overlap by plotting the percentage of MSSP ACO patients receiving care from BPCI participant hospitals for 1 of 48 included episodes.</w:t>
            </w:r>
          </w:p>
          <w:p w14:paraId="2CE557B9" w14:textId="77777777" w:rsidR="00922000" w:rsidRDefault="00922000" w:rsidP="00F34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Panel B. Overlap facing </w:t>
            </w:r>
            <w:r w:rsidRPr="00031F1F">
              <w:rPr>
                <w:rFonts w:ascii="Times New Roman" w:hAnsi="Times New Roman"/>
                <w:b/>
                <w:sz w:val="20"/>
                <w:szCs w:val="20"/>
              </w:rPr>
              <w:t>bundled payment hospitals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031F1F">
              <w:rPr>
                <w:rFonts w:ascii="Times New Roman" w:hAnsi="Times New Roman"/>
                <w:b/>
                <w:sz w:val="20"/>
                <w:szCs w:val="20"/>
              </w:rPr>
              <w:t xml:space="preserve">the percentage of patients receiving care at bundled payment hospitals who were attributed to ACOs. </w:t>
            </w:r>
            <w:r w:rsidRPr="00031F1F">
              <w:rPr>
                <w:rFonts w:ascii="Times New Roman" w:hAnsi="Times New Roman"/>
                <w:sz w:val="20"/>
                <w:szCs w:val="20"/>
              </w:rPr>
              <w:t>Panel B</w:t>
            </w:r>
            <w:r w:rsidRPr="00031F1F">
              <w:rPr>
                <w:rFonts w:ascii="Times New Roman" w:hAnsi="Times New Roman" w:cs="Times New Roman"/>
                <w:sz w:val="20"/>
                <w:szCs w:val="20"/>
              </w:rPr>
              <w:t xml:space="preserve"> illustrates overlap by plotting the percentage of patients receiving care from BPCI participant hospitals for 1 of 48 included episodes who were also attributed to MSSP ACOs.</w:t>
            </w:r>
          </w:p>
          <w:p w14:paraId="7563198D" w14:textId="77777777" w:rsidR="00922000" w:rsidRPr="00031F1F" w:rsidRDefault="00922000" w:rsidP="00F34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1DE">
              <w:rPr>
                <w:rFonts w:ascii="Times New Roman" w:hAnsi="Times New Roman" w:cs="Times New Roman"/>
                <w:sz w:val="20"/>
                <w:szCs w:val="20"/>
              </w:rPr>
              <w:t>ABBREVIATIONS: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1F1F">
              <w:rPr>
                <w:rFonts w:ascii="Times New Roman" w:hAnsi="Times New Roman" w:cs="Times New Roman"/>
                <w:sz w:val="20"/>
                <w:szCs w:val="20"/>
              </w:rPr>
              <w:t>AMI: acute myocardial infarction; AMP: amputation; ARR: cardiac arrhythmia; ATH: atherosclerosis; BACK: back and neck except spinal fusion; BONE: medical noninfectious orthopedic; BOW: major bowel; CABG: coronary artery bypass graft surgery; CAPSF: combined anterior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1F1F">
              <w:rPr>
                <w:rFonts w:ascii="Times New Roman" w:hAnsi="Times New Roman" w:cs="Times New Roman"/>
                <w:sz w:val="20"/>
                <w:szCs w:val="20"/>
              </w:rPr>
              <w:t xml:space="preserve">posterior spinal fusion; CELL: cellulitis; CHEST: chest pain; CNCSF: complex noncervical spinal fusion; CHF: congestive heart failure; CSF: cervical spinal fusion; CVAL: cardiac valve; COPD: chronic obstructive pulmonary disease, bronchitis/asthma; DLEJR: double joint replacement of the lower extremity; DEFIB: cardiac defibrillator; DIA: diabetes; ESO: esophagitis, gastroenteritis, and other digestive disorders; FRAC: fractures of the femur and hip/pelvis; GHEM: gastrointestinal hemorrhage; GOBS: gastrointestinal obstruction; HIPF: hip and femur procedures except major joint; HREV: revision of the hip or knee; KNEE: other knee procedures; LEAD: automatic implantable cardiac defibrillator generator or lead; LEHP: lower extremity and </w:t>
            </w:r>
            <w:proofErr w:type="spellStart"/>
            <w:r w:rsidRPr="00031F1F">
              <w:rPr>
                <w:rFonts w:ascii="Times New Roman" w:hAnsi="Times New Roman" w:cs="Times New Roman"/>
                <w:sz w:val="20"/>
                <w:szCs w:val="20"/>
              </w:rPr>
              <w:t>humerus</w:t>
            </w:r>
            <w:proofErr w:type="spellEnd"/>
            <w:r w:rsidRPr="00031F1F">
              <w:rPr>
                <w:rFonts w:ascii="Times New Roman" w:hAnsi="Times New Roman" w:cs="Times New Roman"/>
                <w:sz w:val="20"/>
                <w:szCs w:val="20"/>
              </w:rPr>
              <w:t xml:space="preserve"> procedure except hip, foot, femur; LEJR: major joint replacement of the lower extremity; MCP: major cardiovascular procedure; MET: nutritional and metabolic disorders; MJUE: major joint upper extremity; PACE: pacemaker; PACER: pacemaker device replacement or revision; PCI: percutaneous coronary intervention; PVASC: medical peripheral vascular disorders; RBCD: red blood cell disorders; REN: renal failure; RORTH: removal of orthopedic devices; RESP: other respiratory; SPIN: spinal fusion (noncervical); SEP: sepsis; SPRI: simple pneumonia and respiratory infections; SYN: syncope and collapse; TISCH: transient ischemia; UTI: urinary tract infection; VASC: other vascular surgery. </w:t>
            </w:r>
          </w:p>
          <w:p w14:paraId="75D82766" w14:textId="77777777" w:rsidR="00922000" w:rsidRPr="00C61D7F" w:rsidRDefault="00922000" w:rsidP="00F34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F72242" w14:textId="77777777" w:rsidR="00922000" w:rsidRPr="00C61D7F" w:rsidRDefault="00922000" w:rsidP="00922000">
      <w:pPr>
        <w:rPr>
          <w:rFonts w:ascii="Times New Roman" w:eastAsia="Calibri" w:hAnsi="Times New Roman" w:cs="Times New Roman"/>
          <w:b/>
        </w:rPr>
      </w:pPr>
    </w:p>
    <w:p w14:paraId="55EA21C8" w14:textId="77777777" w:rsidR="00A64C44" w:rsidRDefault="00A64C44"/>
    <w:sectPr w:rsidR="00A64C44" w:rsidSect="00E40AAF">
      <w:foot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8649C" w14:textId="77777777" w:rsidR="008B356B" w:rsidRDefault="008B356B">
      <w:r>
        <w:separator/>
      </w:r>
    </w:p>
  </w:endnote>
  <w:endnote w:type="continuationSeparator" w:id="0">
    <w:p w14:paraId="0FF8D8A3" w14:textId="77777777" w:rsidR="008B356B" w:rsidRDefault="008B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370036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4A547" w14:textId="77777777" w:rsidR="008255C6" w:rsidRPr="000B1D8C" w:rsidRDefault="00922000">
        <w:pPr>
          <w:pStyle w:val="Footer"/>
          <w:jc w:val="center"/>
          <w:rPr>
            <w:rFonts w:ascii="Times New Roman" w:hAnsi="Times New Roman" w:cs="Times New Roman"/>
          </w:rPr>
        </w:pPr>
        <w:r w:rsidRPr="000B1D8C">
          <w:rPr>
            <w:rFonts w:ascii="Times New Roman" w:hAnsi="Times New Roman" w:cs="Times New Roman"/>
          </w:rPr>
          <w:fldChar w:fldCharType="begin"/>
        </w:r>
        <w:r w:rsidRPr="000B1D8C">
          <w:rPr>
            <w:rFonts w:ascii="Times New Roman" w:hAnsi="Times New Roman" w:cs="Times New Roman"/>
          </w:rPr>
          <w:instrText xml:space="preserve"> PAGE   \* MERGEFORMAT </w:instrText>
        </w:r>
        <w:r w:rsidRPr="000B1D8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0B1D8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EF55168" w14:textId="77777777" w:rsidR="008255C6" w:rsidRPr="000B1D8C" w:rsidRDefault="008B356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76679" w14:textId="77777777" w:rsidR="008B356B" w:rsidRDefault="008B356B">
      <w:r>
        <w:separator/>
      </w:r>
    </w:p>
  </w:footnote>
  <w:footnote w:type="continuationSeparator" w:id="0">
    <w:p w14:paraId="1568B41C" w14:textId="77777777" w:rsidR="008B356B" w:rsidRDefault="008B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00"/>
    <w:rsid w:val="008B356B"/>
    <w:rsid w:val="00922000"/>
    <w:rsid w:val="00932FCC"/>
    <w:rsid w:val="00A6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B50C"/>
  <w15:chartTrackingRefBased/>
  <w15:docId w15:val="{D96F117A-AEF7-4EEA-90BF-7BEF5C2C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000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00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22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00"/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Frontline Medical Communications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Hite</dc:creator>
  <cp:keywords/>
  <dc:description/>
  <cp:lastModifiedBy>Kathryn Wighton</cp:lastModifiedBy>
  <cp:revision>2</cp:revision>
  <dcterms:created xsi:type="dcterms:W3CDTF">2020-05-28T13:31:00Z</dcterms:created>
  <dcterms:modified xsi:type="dcterms:W3CDTF">2020-05-28T13:31:00Z</dcterms:modified>
</cp:coreProperties>
</file>