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9D39" w14:textId="77777777" w:rsidR="00F82861" w:rsidRDefault="00F82861" w:rsidP="00F8286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Supplemental </w:t>
      </w:r>
      <w:r w:rsidRPr="00CC0EC8">
        <w:rPr>
          <w:rFonts w:ascii="Helvetica Neue" w:hAnsi="Helvetica Neue"/>
          <w:b/>
        </w:rPr>
        <w:t xml:space="preserve">Table 1: </w:t>
      </w:r>
      <w:r>
        <w:rPr>
          <w:rFonts w:ascii="Helvetica Neue" w:hAnsi="Helvetica Neue"/>
          <w:b/>
        </w:rPr>
        <w:t>Baseline Provider Characteristics.</w:t>
      </w:r>
    </w:p>
    <w:tbl>
      <w:tblPr>
        <w:tblW w:w="12756" w:type="dxa"/>
        <w:tblLook w:val="04A0" w:firstRow="1" w:lastRow="0" w:firstColumn="1" w:lastColumn="0" w:noHBand="0" w:noVBand="1"/>
      </w:tblPr>
      <w:tblGrid>
        <w:gridCol w:w="4380"/>
        <w:gridCol w:w="1584"/>
        <w:gridCol w:w="1584"/>
        <w:gridCol w:w="1584"/>
        <w:gridCol w:w="1038"/>
        <w:gridCol w:w="862"/>
        <w:gridCol w:w="862"/>
        <w:gridCol w:w="862"/>
      </w:tblGrid>
      <w:tr w:rsidR="002E6E88" w:rsidRPr="00221E3D" w14:paraId="189B2762" w14:textId="77777777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B2DA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2B10" w14:textId="2BC3632E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>
              <w:rPr>
                <w:rFonts w:ascii="HelveticaNeue" w:hAnsi="HelveticaNeue"/>
                <w:color w:val="000000"/>
              </w:rPr>
              <w:t>All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BA77B" w14:textId="351C490E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Qualifying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CC8F" w14:textId="192B6DBD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Other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709B" w14:textId="321DA25C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p-value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CD2E4CC" w14:textId="38CF9248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1A033D0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9F073E6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00EACFEB" w14:textId="32445413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FC2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D55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10</w:t>
            </w:r>
            <w:r>
              <w:rPr>
                <w:rFonts w:ascii="HelveticaNeue" w:hAnsi="HelveticaNeue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C3C8" w14:textId="35EA6DD4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9137" w14:textId="7D841FA6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E8B6" w14:textId="50BF2801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--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3F2C97C" w14:textId="7B3497F0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DB6E920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25A1AB9" w14:textId="60AF3CA8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227657A8" w14:textId="55BFD910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A07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D19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D0120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1089B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164C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8EB0295" w14:textId="5263602A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3209A7D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BF71AF3" w14:textId="2D1A4046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</w:tr>
      <w:tr w:rsidR="002E6E88" w:rsidRPr="00221E3D" w14:paraId="00AA996F" w14:textId="11D1A87C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E20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026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41.</w:t>
            </w:r>
            <w:r w:rsidRPr="00221E3D">
              <w:rPr>
                <w:rFonts w:ascii="HelveticaNeue" w:hAnsi="HelveticaNeue"/>
                <w:iCs/>
                <w:color w:val="000000"/>
              </w:rPr>
              <w:t>5+9.7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5F0A1" w14:textId="506E7C3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42.4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9.7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0EFB" w14:textId="39A01941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40.4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9.7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7964" w14:textId="4DF5B332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0.301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2859A27" w14:textId="22184258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5680C58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339461C" w14:textId="74D39E2D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38B9F886" w14:textId="37436854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F2E5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E2D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54.7%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553B" w14:textId="65E8642C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55.2%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89798" w14:textId="1F57D21D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54.2%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6FEC" w14:textId="07246C1E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4B19966" w14:textId="0B01D2BD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AF0BDF9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0063549" w14:textId="33AE90AB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75A5D0A5" w14:textId="7936F208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BC3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Advanced Practice Professional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4F0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15.1%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B055C" w14:textId="1B547C9D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15.5%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9F1F" w14:textId="133D51FA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14.6%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361C" w14:textId="327EAD7A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1.000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5A30052" w14:textId="75DE7212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2858E85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BF005CE" w14:textId="10B4C8BC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550DB566" w14:textId="521B9510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263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843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76C8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B5AA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20E2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2A1A717" w14:textId="3F7AC5CF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5648F7F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7326FDE" w14:textId="58B93CF6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</w:tr>
      <w:tr w:rsidR="002E6E88" w:rsidRPr="00221E3D" w14:paraId="4E40EADB" w14:textId="34FA3E16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F9B4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Years of practice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43B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8.5+9.2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56404" w14:textId="40D1EA00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9.3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9.2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D5AF" w14:textId="500AE32E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7.6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9.1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412A" w14:textId="4CBA4C1A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0.354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F0BB8FE" w14:textId="72D86E1E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CB700DB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F2CB2CC" w14:textId="0DE1DBB9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435329C8" w14:textId="70D43005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214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Patients seen/week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009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81.8+40.2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948E3" w14:textId="22066CF8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81.5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41.4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06FB" w14:textId="6B8F32AB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82.2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39.1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8ED8" w14:textId="6F97BC62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0.931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5895B8F" w14:textId="1884B0A4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4DBE6BB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7433006" w14:textId="03A89154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788D869C" w14:textId="07960191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68E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Time spent teaching, 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1AD1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8.1%+13.4%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1CF2" w14:textId="2B22FBF5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8.9%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14.8%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68B3" w14:textId="78289F52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7.2%</w:t>
            </w:r>
            <w:r w:rsidRPr="002E6E88">
              <w:rPr>
                <w:rFonts w:ascii="HelveticaNeue" w:hAnsi="HelveticaNeue"/>
                <w:u w:val="single"/>
              </w:rPr>
              <w:t>+</w:t>
            </w:r>
            <w:r w:rsidRPr="002E6E88">
              <w:rPr>
                <w:rFonts w:ascii="HelveticaNeue" w:hAnsi="HelveticaNeue"/>
              </w:rPr>
              <w:t>11.6%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6D60" w14:textId="49750B45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0.508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2FC9763" w14:textId="2E0ACF22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FB53E1B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0C6D1AC" w14:textId="332F7C03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11A481A6" w14:textId="06667D98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1D6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F9F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D81D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09FA8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E909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6CF19E7" w14:textId="3271C741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6F900E3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4ECD5FC" w14:textId="271C626F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</w:tr>
      <w:tr w:rsidR="002E6E88" w:rsidRPr="00221E3D" w14:paraId="1F3F982E" w14:textId="2CD9ED01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C95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Variability of care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193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C2A1" w14:textId="77777777" w:rsidR="002E6E88" w:rsidRPr="002E6E88" w:rsidRDefault="002E6E88" w:rsidP="002E6E88">
            <w:pPr>
              <w:jc w:val="center"/>
              <w:rPr>
                <w:rFonts w:ascii="HelveticaNeue" w:hAnsi="HelveticaNeue"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790D" w14:textId="77777777" w:rsidR="002E6E88" w:rsidRPr="002E6E88" w:rsidRDefault="002E6E88" w:rsidP="002E6E88">
            <w:pPr>
              <w:jc w:val="center"/>
              <w:rPr>
                <w:rFonts w:ascii="HelveticaNeue" w:hAnsi="HelveticaNeue"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5A40B" w14:textId="77777777" w:rsidR="002E6E88" w:rsidRPr="002E6E88" w:rsidRDefault="002E6E88" w:rsidP="002E6E88">
            <w:pPr>
              <w:jc w:val="center"/>
              <w:rPr>
                <w:rFonts w:ascii="HelveticaNeue" w:hAnsi="HelveticaNeue"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5B869FE" w14:textId="575E0BE2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9FC7CE7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F660BA4" w14:textId="19A3BFA9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</w:tr>
      <w:tr w:rsidR="002E6E88" w:rsidRPr="00221E3D" w14:paraId="68B73BCE" w14:textId="48D968F8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3E4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None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119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0.0%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DE04" w14:textId="2A3E20EC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F1386" w14:textId="2C81C2D2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CDE1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77BA79C" w14:textId="5222F5F0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96B6030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79CDC7E" w14:textId="265080D6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04A7ADD7" w14:textId="37C3A4EA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1DD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Low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7EE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21.2%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3274" w14:textId="091BB7E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28.6%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45A97" w14:textId="076AC295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12.5%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3384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B9160E5" w14:textId="6D02EE2D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CF526A2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79A885C" w14:textId="27561876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3879B155" w14:textId="2E6E2C15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5A2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Moderate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7FE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48.1%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B2AF" w14:textId="25B7814F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42.9%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AD88" w14:textId="0BE86980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54.2%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4F898" w14:textId="6E241702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0.156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B763481" w14:textId="73B90E90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B7D0A0A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39DE25E" w14:textId="53D7DE6E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7EC107A2" w14:textId="6B020796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DD5A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High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681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20.2%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53AF" w14:textId="79939AD0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16.1%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53E03" w14:textId="2EA71DC4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25.0%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8BFF9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F54D8E4" w14:textId="10E1D648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812310E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7EA04B8" w14:textId="26F6E093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368C8F2C" w14:textId="77C3F12A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CCF5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Very High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BDA1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10.6%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73968" w14:textId="5C2DB9F3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12.5%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06F3" w14:textId="61437FA2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8.3%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16CA6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9E8B4C4" w14:textId="647986DA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E2D342B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307CECC" w14:textId="1CF0D522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5D91C5B2" w14:textId="4D95295F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61FA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93E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1A69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0762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2141" w14:textId="77777777" w:rsidR="002E6E88" w:rsidRPr="002E6E88" w:rsidRDefault="002E6E88" w:rsidP="002E6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068AA3E" w14:textId="44E1E403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E85CC9C" w14:textId="77777777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E61035E" w14:textId="07374604" w:rsidR="002E6E88" w:rsidRPr="00221E3D" w:rsidRDefault="002E6E88" w:rsidP="002E6E88">
            <w:pPr>
              <w:rPr>
                <w:sz w:val="20"/>
                <w:szCs w:val="20"/>
              </w:rPr>
            </w:pPr>
          </w:p>
        </w:tc>
      </w:tr>
      <w:tr w:rsidR="002E6E88" w:rsidRPr="00221E3D" w14:paraId="3A1951E7" w14:textId="1ACB0F88" w:rsidTr="000D7F87">
        <w:trPr>
          <w:trHeight w:val="6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A2404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  <w:r w:rsidRPr="00221E3D">
              <w:rPr>
                <w:rFonts w:ascii="HelveticaNeue" w:hAnsi="HelveticaNeue"/>
                <w:b/>
                <w:bCs/>
                <w:color w:val="000000"/>
              </w:rPr>
              <w:t>Focus on quality improvement and lowering unnecessary costs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BEF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C1E6" w14:textId="77777777" w:rsidR="002E6E88" w:rsidRPr="002E6E88" w:rsidRDefault="002E6E88" w:rsidP="002E6E88">
            <w:pPr>
              <w:jc w:val="center"/>
              <w:rPr>
                <w:rFonts w:ascii="HelveticaNeue" w:hAnsi="HelveticaNeue"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7C7C" w14:textId="77777777" w:rsidR="002E6E88" w:rsidRPr="002E6E88" w:rsidRDefault="002E6E88" w:rsidP="002E6E88">
            <w:pPr>
              <w:jc w:val="center"/>
              <w:rPr>
                <w:rFonts w:ascii="HelveticaNeue" w:hAnsi="HelveticaNeue"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D520D" w14:textId="77777777" w:rsidR="002E6E88" w:rsidRPr="002E6E88" w:rsidRDefault="002E6E88" w:rsidP="002E6E88">
            <w:pPr>
              <w:jc w:val="center"/>
              <w:rPr>
                <w:rFonts w:ascii="HelveticaNeue" w:hAnsi="HelveticaNeue"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630B1DC" w14:textId="51EB8E9B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E51A617" w14:textId="77777777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B1F9AE9" w14:textId="1E076F9D" w:rsidR="002E6E88" w:rsidRPr="00221E3D" w:rsidRDefault="002E6E88" w:rsidP="002E6E88">
            <w:pPr>
              <w:rPr>
                <w:rFonts w:ascii="HelveticaNeue" w:hAnsi="HelveticaNeue"/>
                <w:b/>
                <w:bCs/>
                <w:color w:val="000000"/>
              </w:rPr>
            </w:pPr>
          </w:p>
        </w:tc>
      </w:tr>
      <w:tr w:rsidR="002E6E88" w:rsidRPr="00221E3D" w14:paraId="5B6A18F4" w14:textId="0686D9EE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AFB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Poor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4A3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1.9%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3D29" w14:textId="75845A51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C07D1" w14:textId="7189C7EA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A011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3390D7B" w14:textId="6DE18E9E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74B0BDE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E63278B" w14:textId="3D5D81D8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1C93ED33" w14:textId="3CF10684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D62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 xml:space="preserve">Fair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BED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1.0%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A80B" w14:textId="4DC74AD4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7E2C" w14:textId="718E735D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2.1%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81F19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3DCFFFD" w14:textId="5B5D6190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8CC7CAD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593DC16" w14:textId="251319AB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0F2C0871" w14:textId="146EDB36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8CB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Average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795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19.1%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A89F" w14:textId="00ECBA83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17.5%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C7CE" w14:textId="14BBF3A8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20.9%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2731" w14:textId="097F3320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0.837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873187D" w14:textId="2B4DD601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0697CB4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BDC6853" w14:textId="07D7E499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6BEC877E" w14:textId="519B43D1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D87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Good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98B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46.7%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18C1" w14:textId="6FD90F5A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45.6%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85FFB" w14:textId="752EE524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47.9%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6FF0C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A2D91A0" w14:textId="563E584B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54CB981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C8598F1" w14:textId="69E1C4ED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  <w:tr w:rsidR="002E6E88" w:rsidRPr="00221E3D" w14:paraId="33AFCC52" w14:textId="3C494498" w:rsidTr="000D7F8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F058" w14:textId="77777777" w:rsidR="002E6E88" w:rsidRPr="00221E3D" w:rsidRDefault="002E6E88" w:rsidP="002E6E88">
            <w:pPr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Excellent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5EAC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  <w:r w:rsidRPr="00221E3D">
              <w:rPr>
                <w:rFonts w:ascii="HelveticaNeue" w:hAnsi="HelveticaNeue"/>
                <w:color w:val="000000"/>
              </w:rPr>
              <w:t>31.4%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2C000" w14:textId="23199ED3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35.1%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C9F16" w14:textId="28EECB29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  <w:r w:rsidRPr="002E6E88">
              <w:rPr>
                <w:rFonts w:ascii="HelveticaNeue" w:hAnsi="HelveticaNeue"/>
              </w:rPr>
              <w:t>27.1%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D5B9" w14:textId="77777777" w:rsidR="002E6E88" w:rsidRPr="002E6E88" w:rsidRDefault="002E6E88" w:rsidP="002E6E88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2533767" w14:textId="66932156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C239FC1" w14:textId="77777777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1D95C66" w14:textId="3B753FF6" w:rsidR="002E6E88" w:rsidRPr="00221E3D" w:rsidRDefault="002E6E88" w:rsidP="002E6E88">
            <w:pPr>
              <w:jc w:val="center"/>
              <w:rPr>
                <w:rFonts w:ascii="HelveticaNeue" w:hAnsi="HelveticaNeue"/>
                <w:color w:val="000000"/>
              </w:rPr>
            </w:pPr>
          </w:p>
        </w:tc>
      </w:tr>
    </w:tbl>
    <w:p w14:paraId="7A3E257A" w14:textId="77777777" w:rsidR="00F82861" w:rsidRPr="0008515C" w:rsidRDefault="00F82861" w:rsidP="00F82861">
      <w:pPr>
        <w:rPr>
          <w:rFonts w:ascii="Helvetica Neue" w:hAnsi="Helvetica Neue"/>
        </w:rPr>
      </w:pPr>
    </w:p>
    <w:p w14:paraId="41CB8C2D" w14:textId="77777777" w:rsidR="00F82861" w:rsidRDefault="00F82861"/>
    <w:sectPr w:rsidR="00F82861" w:rsidSect="009A65D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E782" w14:textId="77777777" w:rsidR="00BE37C5" w:rsidRDefault="00BE37C5">
      <w:r>
        <w:separator/>
      </w:r>
    </w:p>
  </w:endnote>
  <w:endnote w:type="continuationSeparator" w:id="0">
    <w:p w14:paraId="78E4FB04" w14:textId="77777777" w:rsidR="00BE37C5" w:rsidRDefault="00B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Arial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892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6CAD9" w14:textId="77777777" w:rsidR="000F0978" w:rsidRDefault="00F82861" w:rsidP="00626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0D640" w14:textId="77777777" w:rsidR="000F0978" w:rsidRDefault="00BE37C5" w:rsidP="009A65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4191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5F06F" w14:textId="77777777" w:rsidR="000F0978" w:rsidRDefault="00F82861" w:rsidP="00626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2435995C" w14:textId="77777777" w:rsidR="000F0978" w:rsidRDefault="00BE37C5" w:rsidP="009A65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E0F3" w14:textId="77777777" w:rsidR="00BE37C5" w:rsidRDefault="00BE37C5">
      <w:r>
        <w:separator/>
      </w:r>
    </w:p>
  </w:footnote>
  <w:footnote w:type="continuationSeparator" w:id="0">
    <w:p w14:paraId="525675B2" w14:textId="77777777" w:rsidR="00BE37C5" w:rsidRDefault="00BE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A24C" w14:textId="77777777" w:rsidR="000F0978" w:rsidRDefault="00BE3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61"/>
    <w:rsid w:val="002E6E88"/>
    <w:rsid w:val="00BE37C5"/>
    <w:rsid w:val="00BF02BD"/>
    <w:rsid w:val="00CD11B3"/>
    <w:rsid w:val="00E62EEE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9ADD6"/>
  <w15:chartTrackingRefBased/>
  <w15:docId w15:val="{FBABABED-D80D-5245-A4F2-C38612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2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8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8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Paculdo</dc:creator>
  <cp:keywords/>
  <dc:description/>
  <cp:lastModifiedBy>David Paculdo</cp:lastModifiedBy>
  <cp:revision>2</cp:revision>
  <dcterms:created xsi:type="dcterms:W3CDTF">2019-03-16T01:13:00Z</dcterms:created>
  <dcterms:modified xsi:type="dcterms:W3CDTF">2019-03-16T01:13:00Z</dcterms:modified>
</cp:coreProperties>
</file>