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9FD8E" w14:textId="5F739AB5" w:rsidR="00603D4B" w:rsidRDefault="00603D4B" w:rsidP="002E70A2">
      <w:pPr>
        <w:jc w:val="center"/>
        <w:rPr>
          <w:b/>
        </w:rPr>
      </w:pPr>
      <w:r>
        <w:rPr>
          <w:b/>
        </w:rPr>
        <w:t>SUPPLEMENTARY APPENDIX</w:t>
      </w:r>
    </w:p>
    <w:p w14:paraId="7103025E" w14:textId="42BA90B9" w:rsidR="00F714D8" w:rsidRDefault="00F714D8" w:rsidP="002E70A2">
      <w:pPr>
        <w:jc w:val="center"/>
        <w:rPr>
          <w:b/>
        </w:rPr>
      </w:pPr>
    </w:p>
    <w:p w14:paraId="65666063" w14:textId="77777777" w:rsidR="00F714D8" w:rsidRDefault="00F714D8" w:rsidP="00F714D8">
      <w:pPr>
        <w:jc w:val="center"/>
      </w:pPr>
      <w:r>
        <w:t>Improving Respiratory Rate Accuracy in the Hospital: A Quality Improvement Initiative</w:t>
      </w:r>
    </w:p>
    <w:p w14:paraId="238CAA08" w14:textId="77777777" w:rsidR="00F714D8" w:rsidRDefault="00F714D8" w:rsidP="00F714D8">
      <w:pPr>
        <w:jc w:val="center"/>
        <w:rPr>
          <w:sz w:val="22"/>
          <w:szCs w:val="22"/>
        </w:rPr>
      </w:pPr>
    </w:p>
    <w:p w14:paraId="6663B63E" w14:textId="77777777" w:rsidR="00F714D8" w:rsidRDefault="00F714D8" w:rsidP="00F714D8">
      <w:pPr>
        <w:jc w:val="center"/>
        <w:outlineLvl w:val="0"/>
        <w:rPr>
          <w:color w:val="212121"/>
          <w:shd w:val="clear" w:color="auto" w:fill="FFFFFF"/>
          <w:vertAlign w:val="superscript"/>
        </w:rPr>
      </w:pPr>
      <w:r>
        <w:rPr>
          <w:color w:val="212121"/>
          <w:sz w:val="22"/>
          <w:szCs w:val="22"/>
          <w:shd w:val="clear" w:color="auto" w:fill="FFFFFF"/>
        </w:rPr>
        <w:t>Neil Keshvani, MD</w:t>
      </w:r>
      <w:r>
        <w:rPr>
          <w:color w:val="212121"/>
          <w:sz w:val="22"/>
          <w:szCs w:val="22"/>
          <w:shd w:val="clear" w:color="auto" w:fill="FFFFFF"/>
          <w:vertAlign w:val="superscript"/>
        </w:rPr>
        <w:t>1</w:t>
      </w:r>
      <w:r>
        <w:rPr>
          <w:color w:val="212121"/>
          <w:sz w:val="22"/>
          <w:szCs w:val="22"/>
          <w:shd w:val="clear" w:color="auto" w:fill="FFFFFF"/>
        </w:rPr>
        <w:t>; Kimberly Berger, MD, MPH</w:t>
      </w:r>
      <w:r>
        <w:rPr>
          <w:color w:val="212121"/>
          <w:sz w:val="22"/>
          <w:szCs w:val="22"/>
          <w:shd w:val="clear" w:color="auto" w:fill="FFFFFF"/>
          <w:vertAlign w:val="superscript"/>
        </w:rPr>
        <w:t>1</w:t>
      </w:r>
      <w:r>
        <w:rPr>
          <w:color w:val="212121"/>
          <w:sz w:val="22"/>
          <w:szCs w:val="22"/>
          <w:shd w:val="clear" w:color="auto" w:fill="FFFFFF"/>
        </w:rPr>
        <w:t>; Arjun Gupta, MD</w:t>
      </w:r>
      <w:r>
        <w:rPr>
          <w:color w:val="212121"/>
          <w:sz w:val="22"/>
          <w:szCs w:val="22"/>
          <w:shd w:val="clear" w:color="auto" w:fill="FFFFFF"/>
          <w:vertAlign w:val="superscript"/>
        </w:rPr>
        <w:t xml:space="preserve">1; </w:t>
      </w:r>
      <w:r>
        <w:rPr>
          <w:color w:val="212121"/>
          <w:sz w:val="22"/>
          <w:szCs w:val="22"/>
          <w:shd w:val="clear" w:color="auto" w:fill="FFFFFF"/>
        </w:rPr>
        <w:t xml:space="preserve">Sheila </w:t>
      </w:r>
      <w:proofErr w:type="spellStart"/>
      <w:r>
        <w:rPr>
          <w:color w:val="212121"/>
          <w:sz w:val="22"/>
          <w:szCs w:val="22"/>
          <w:shd w:val="clear" w:color="auto" w:fill="FFFFFF"/>
        </w:rPr>
        <w:t>DePaola</w:t>
      </w:r>
      <w:proofErr w:type="spellEnd"/>
      <w:r>
        <w:rPr>
          <w:color w:val="212121"/>
          <w:sz w:val="22"/>
          <w:szCs w:val="22"/>
          <w:shd w:val="clear" w:color="auto" w:fill="FFFFFF"/>
        </w:rPr>
        <w:t>, RN</w:t>
      </w:r>
      <w:r>
        <w:rPr>
          <w:color w:val="212121"/>
          <w:sz w:val="22"/>
          <w:szCs w:val="22"/>
          <w:shd w:val="clear" w:color="auto" w:fill="FFFFFF"/>
          <w:vertAlign w:val="superscript"/>
        </w:rPr>
        <w:t>2</w:t>
      </w:r>
      <w:r>
        <w:rPr>
          <w:color w:val="212121"/>
          <w:sz w:val="22"/>
          <w:szCs w:val="22"/>
          <w:shd w:val="clear" w:color="auto" w:fill="FFFFFF"/>
        </w:rPr>
        <w:t xml:space="preserve">; </w:t>
      </w:r>
      <w:proofErr w:type="spellStart"/>
      <w:r>
        <w:rPr>
          <w:color w:val="212121"/>
          <w:sz w:val="22"/>
          <w:szCs w:val="22"/>
          <w:shd w:val="clear" w:color="auto" w:fill="FFFFFF"/>
        </w:rPr>
        <w:t>Oanh</w:t>
      </w:r>
      <w:proofErr w:type="spellEnd"/>
      <w:r>
        <w:rPr>
          <w:color w:val="212121"/>
          <w:sz w:val="22"/>
          <w:szCs w:val="22"/>
          <w:shd w:val="clear" w:color="auto" w:fill="FFFFFF"/>
        </w:rPr>
        <w:t xml:space="preserve"> </w:t>
      </w:r>
      <w:proofErr w:type="spellStart"/>
      <w:r>
        <w:rPr>
          <w:color w:val="212121"/>
          <w:sz w:val="22"/>
          <w:szCs w:val="22"/>
          <w:shd w:val="clear" w:color="auto" w:fill="FFFFFF"/>
        </w:rPr>
        <w:t>Kieu</w:t>
      </w:r>
      <w:proofErr w:type="spellEnd"/>
      <w:r>
        <w:rPr>
          <w:color w:val="212121"/>
          <w:sz w:val="22"/>
          <w:szCs w:val="22"/>
          <w:shd w:val="clear" w:color="auto" w:fill="FFFFFF"/>
        </w:rPr>
        <w:t xml:space="preserve"> Nguyen, MD, MAS</w:t>
      </w:r>
      <w:r>
        <w:rPr>
          <w:color w:val="212121"/>
          <w:sz w:val="22"/>
          <w:szCs w:val="22"/>
          <w:shd w:val="clear" w:color="auto" w:fill="FFFFFF"/>
          <w:vertAlign w:val="superscript"/>
        </w:rPr>
        <w:t>1,3</w:t>
      </w:r>
      <w:r>
        <w:rPr>
          <w:color w:val="212121"/>
          <w:sz w:val="22"/>
          <w:szCs w:val="22"/>
          <w:shd w:val="clear" w:color="auto" w:fill="FFFFFF"/>
        </w:rPr>
        <w:t xml:space="preserve">; Anil N. </w:t>
      </w:r>
      <w:proofErr w:type="spellStart"/>
      <w:r>
        <w:rPr>
          <w:color w:val="212121"/>
          <w:sz w:val="22"/>
          <w:szCs w:val="22"/>
          <w:shd w:val="clear" w:color="auto" w:fill="FFFFFF"/>
        </w:rPr>
        <w:t>Makam</w:t>
      </w:r>
      <w:proofErr w:type="spellEnd"/>
      <w:r>
        <w:rPr>
          <w:color w:val="212121"/>
          <w:sz w:val="22"/>
          <w:szCs w:val="22"/>
          <w:shd w:val="clear" w:color="auto" w:fill="FFFFFF"/>
        </w:rPr>
        <w:t>,</w:t>
      </w:r>
      <w:r>
        <w:rPr>
          <w:color w:val="212121"/>
          <w:shd w:val="clear" w:color="auto" w:fill="FFFFFF"/>
        </w:rPr>
        <w:t xml:space="preserve"> MD, MAS</w:t>
      </w:r>
      <w:r>
        <w:rPr>
          <w:color w:val="212121"/>
          <w:shd w:val="clear" w:color="auto" w:fill="FFFFFF"/>
          <w:vertAlign w:val="superscript"/>
        </w:rPr>
        <w:t>1,3</w:t>
      </w:r>
    </w:p>
    <w:p w14:paraId="1A53515A" w14:textId="77777777" w:rsidR="00F714D8" w:rsidRDefault="00F714D8" w:rsidP="00F714D8">
      <w:pPr>
        <w:jc w:val="center"/>
        <w:outlineLvl w:val="0"/>
        <w:rPr>
          <w:color w:val="212121"/>
          <w:sz w:val="20"/>
          <w:szCs w:val="20"/>
          <w:shd w:val="clear" w:color="auto" w:fill="FFFFFF"/>
        </w:rPr>
      </w:pPr>
    </w:p>
    <w:p w14:paraId="0964A198" w14:textId="77777777" w:rsidR="00F714D8" w:rsidRDefault="00F714D8" w:rsidP="00F714D8">
      <w:pPr>
        <w:outlineLvl w:val="0"/>
        <w:rPr>
          <w:color w:val="444444"/>
          <w:sz w:val="20"/>
          <w:szCs w:val="20"/>
        </w:rPr>
      </w:pPr>
      <w:r>
        <w:rPr>
          <w:color w:val="444444"/>
          <w:sz w:val="20"/>
          <w:szCs w:val="20"/>
          <w:vertAlign w:val="superscript"/>
        </w:rPr>
        <w:t>1</w:t>
      </w:r>
      <w:r>
        <w:rPr>
          <w:color w:val="444444"/>
          <w:sz w:val="20"/>
          <w:szCs w:val="20"/>
        </w:rPr>
        <w:t>Department of Internal Medicine, UT Southwestern Medical Center, Dallas, Texas</w:t>
      </w:r>
    </w:p>
    <w:p w14:paraId="74980B06" w14:textId="77777777" w:rsidR="00F714D8" w:rsidRDefault="00F714D8" w:rsidP="00F714D8">
      <w:pPr>
        <w:outlineLvl w:val="0"/>
        <w:rPr>
          <w:color w:val="444444"/>
          <w:sz w:val="20"/>
          <w:szCs w:val="20"/>
        </w:rPr>
      </w:pPr>
      <w:r>
        <w:rPr>
          <w:color w:val="444444"/>
          <w:sz w:val="20"/>
          <w:szCs w:val="20"/>
          <w:vertAlign w:val="superscript"/>
        </w:rPr>
        <w:t>2</w:t>
      </w:r>
      <w:r>
        <w:rPr>
          <w:color w:val="444444"/>
          <w:sz w:val="20"/>
          <w:szCs w:val="20"/>
        </w:rPr>
        <w:t>Department of Nursing, Parkland Health and Hospital System, Dallas, Texas</w:t>
      </w:r>
    </w:p>
    <w:p w14:paraId="0A4EE8F8" w14:textId="124C0C44" w:rsidR="00F714D8" w:rsidRPr="002E70A2" w:rsidRDefault="00F714D8" w:rsidP="00694F02">
      <w:pPr>
        <w:rPr>
          <w:b/>
        </w:rPr>
      </w:pPr>
      <w:r>
        <w:rPr>
          <w:color w:val="444444"/>
          <w:sz w:val="20"/>
          <w:szCs w:val="20"/>
          <w:vertAlign w:val="superscript"/>
        </w:rPr>
        <w:t>3</w:t>
      </w:r>
      <w:r>
        <w:rPr>
          <w:color w:val="444444"/>
          <w:sz w:val="20"/>
          <w:szCs w:val="20"/>
        </w:rPr>
        <w:t>Department of Medicine, Chan Zuckerberg San Francisco General Hospital, University of California San Francisco</w:t>
      </w:r>
    </w:p>
    <w:p w14:paraId="03111E83" w14:textId="77777777" w:rsidR="00603D4B" w:rsidRPr="00D9458C" w:rsidRDefault="00603D4B" w:rsidP="00603D4B"/>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0"/>
        <w:gridCol w:w="350"/>
      </w:tblGrid>
      <w:tr w:rsidR="00603D4B" w:rsidRPr="00D9458C" w14:paraId="4BA90EF7" w14:textId="77777777" w:rsidTr="004C48D7">
        <w:trPr>
          <w:trHeight w:val="987"/>
        </w:trPr>
        <w:tc>
          <w:tcPr>
            <w:tcW w:w="8920" w:type="dxa"/>
          </w:tcPr>
          <w:p w14:paraId="66476F41" w14:textId="77777777" w:rsidR="004C48D7" w:rsidRDefault="004C48D7" w:rsidP="004C48D7"/>
          <w:p w14:paraId="383A292F" w14:textId="59E7B0DE" w:rsidR="00603D4B" w:rsidRDefault="004C48D7" w:rsidP="004C48D7">
            <w:r>
              <w:t xml:space="preserve">Figure </w:t>
            </w:r>
            <w:r w:rsidR="00F714D8">
              <w:t>1</w:t>
            </w:r>
            <w:r>
              <w:t xml:space="preserve">. </w:t>
            </w:r>
            <w:r w:rsidR="00603D4B">
              <w:t>Comparison of respiratory rate measurements…………….</w:t>
            </w:r>
            <w:r w:rsidR="00603D4B" w:rsidRPr="00D9458C">
              <w:t>…………….……</w:t>
            </w:r>
            <w:r>
              <w:t>...</w:t>
            </w:r>
          </w:p>
          <w:p w14:paraId="2D6F2025" w14:textId="77777777" w:rsidR="004C48D7" w:rsidRDefault="004C48D7" w:rsidP="004C48D7"/>
          <w:p w14:paraId="04C8EECF" w14:textId="65318196" w:rsidR="00DA4368" w:rsidRPr="00DA4368" w:rsidRDefault="00DA4368" w:rsidP="00DA4368">
            <w:r>
              <w:t xml:space="preserve">Figure </w:t>
            </w:r>
            <w:r w:rsidR="00F714D8">
              <w:t>2</w:t>
            </w:r>
            <w:r>
              <w:t xml:space="preserve">. </w:t>
            </w:r>
            <w:r w:rsidRPr="00DA4368">
              <w:t>Distribution of Respiratory Rates among Control and Intervention Units</w:t>
            </w:r>
            <w:r w:rsidR="00694F02">
              <w:t>……...</w:t>
            </w:r>
          </w:p>
          <w:p w14:paraId="172360F8" w14:textId="44A82517" w:rsidR="00DA4368" w:rsidRDefault="00DA4368" w:rsidP="004C48D7"/>
          <w:p w14:paraId="7DEE6A37" w14:textId="260DD945" w:rsidR="004C48D7" w:rsidRDefault="004C48D7" w:rsidP="004C48D7">
            <w:r>
              <w:t xml:space="preserve">Table </w:t>
            </w:r>
            <w:r w:rsidR="00694F02">
              <w:t>1</w:t>
            </w:r>
            <w:r>
              <w:t xml:space="preserve">. </w:t>
            </w:r>
            <w:r w:rsidR="00694F02" w:rsidRPr="00694F02">
              <w:t xml:space="preserve">Effect of Intervention to Improve Respiratory Rate Accuracy on SIRS Incidence </w:t>
            </w:r>
          </w:p>
          <w:p w14:paraId="049406C8" w14:textId="77777777" w:rsidR="00DA4368" w:rsidRDefault="00DA4368" w:rsidP="004C48D7"/>
          <w:p w14:paraId="42CC26AF" w14:textId="3D10A4A2" w:rsidR="00DA4368" w:rsidRPr="00D9458C" w:rsidRDefault="00DA4368" w:rsidP="00B32749">
            <w:r>
              <w:t xml:space="preserve">Table </w:t>
            </w:r>
            <w:r w:rsidR="00694F02">
              <w:t>2</w:t>
            </w:r>
            <w:r>
              <w:t>.</w:t>
            </w:r>
            <w:r w:rsidR="00F714D8">
              <w:t xml:space="preserve"> </w:t>
            </w:r>
            <w:r w:rsidR="00694F02" w:rsidRPr="00694F02">
              <w:t>Study Flow Table for EHR Cohort</w:t>
            </w:r>
            <w:r w:rsidR="00694F02">
              <w:t>……………………………………………….</w:t>
            </w:r>
          </w:p>
        </w:tc>
        <w:tc>
          <w:tcPr>
            <w:tcW w:w="350" w:type="dxa"/>
          </w:tcPr>
          <w:p w14:paraId="3F3D7404" w14:textId="77777777" w:rsidR="004C48D7" w:rsidRDefault="004C48D7" w:rsidP="00E02EAB">
            <w:pPr>
              <w:jc w:val="right"/>
            </w:pPr>
          </w:p>
          <w:p w14:paraId="0813776A" w14:textId="1A189582" w:rsidR="004C48D7" w:rsidRDefault="00694F02" w:rsidP="00E02EAB">
            <w:pPr>
              <w:jc w:val="right"/>
            </w:pPr>
            <w:r>
              <w:t>2</w:t>
            </w:r>
          </w:p>
          <w:p w14:paraId="7D47A891" w14:textId="77777777" w:rsidR="004C48D7" w:rsidRDefault="004C48D7" w:rsidP="00E02EAB">
            <w:pPr>
              <w:jc w:val="right"/>
            </w:pPr>
          </w:p>
          <w:p w14:paraId="05E200AD" w14:textId="3C2C5B77" w:rsidR="00DA4368" w:rsidRDefault="00694F02" w:rsidP="00E02EAB">
            <w:pPr>
              <w:jc w:val="right"/>
            </w:pPr>
            <w:r>
              <w:t>3</w:t>
            </w:r>
          </w:p>
          <w:p w14:paraId="2BBB08AE" w14:textId="77777777" w:rsidR="00DA4368" w:rsidRDefault="00DA4368" w:rsidP="00E02EAB">
            <w:pPr>
              <w:jc w:val="right"/>
            </w:pPr>
          </w:p>
          <w:p w14:paraId="551944A5" w14:textId="0CBDC9C3" w:rsidR="004C48D7" w:rsidRDefault="00694F02" w:rsidP="00E02EAB">
            <w:pPr>
              <w:jc w:val="right"/>
            </w:pPr>
            <w:r>
              <w:t>4</w:t>
            </w:r>
          </w:p>
          <w:p w14:paraId="6ACBE0D6" w14:textId="77777777" w:rsidR="00DA4368" w:rsidRDefault="00DA4368" w:rsidP="00E02EAB">
            <w:pPr>
              <w:jc w:val="right"/>
            </w:pPr>
          </w:p>
          <w:p w14:paraId="2CF4F007" w14:textId="67F1F609" w:rsidR="00DA4368" w:rsidRPr="00D9458C" w:rsidRDefault="00694F02" w:rsidP="00E02EAB">
            <w:pPr>
              <w:jc w:val="right"/>
            </w:pPr>
            <w:r>
              <w:t>5</w:t>
            </w:r>
          </w:p>
        </w:tc>
      </w:tr>
      <w:tr w:rsidR="00DA4368" w:rsidRPr="00D9458C" w14:paraId="236141AB" w14:textId="77777777" w:rsidTr="004C48D7">
        <w:trPr>
          <w:trHeight w:val="987"/>
        </w:trPr>
        <w:tc>
          <w:tcPr>
            <w:tcW w:w="8920" w:type="dxa"/>
          </w:tcPr>
          <w:p w14:paraId="2C9FD431" w14:textId="77777777" w:rsidR="00DA4368" w:rsidRDefault="00DA4368" w:rsidP="004C48D7"/>
        </w:tc>
        <w:tc>
          <w:tcPr>
            <w:tcW w:w="350" w:type="dxa"/>
          </w:tcPr>
          <w:p w14:paraId="0A9C25C2" w14:textId="77777777" w:rsidR="00DA4368" w:rsidRPr="00D9458C" w:rsidRDefault="00DA4368" w:rsidP="00E02EAB">
            <w:pPr>
              <w:jc w:val="right"/>
            </w:pPr>
          </w:p>
        </w:tc>
      </w:tr>
    </w:tbl>
    <w:p w14:paraId="2E65C5FF" w14:textId="77777777" w:rsidR="00603D4B" w:rsidRDefault="00603D4B" w:rsidP="004C3CB5">
      <w:pPr>
        <w:pStyle w:val="NormalWeb"/>
        <w:shd w:val="clear" w:color="auto" w:fill="FFFFFF"/>
        <w:spacing w:before="0" w:beforeAutospacing="0" w:after="150" w:afterAutospacing="0"/>
        <w:rPr>
          <w:b/>
          <w:color w:val="333333"/>
        </w:rPr>
      </w:pPr>
    </w:p>
    <w:p w14:paraId="11698887" w14:textId="77777777" w:rsidR="00603D4B" w:rsidRDefault="00603D4B" w:rsidP="004C3CB5">
      <w:pPr>
        <w:pStyle w:val="NormalWeb"/>
        <w:shd w:val="clear" w:color="auto" w:fill="FFFFFF"/>
        <w:spacing w:before="0" w:beforeAutospacing="0" w:after="150" w:afterAutospacing="0"/>
        <w:rPr>
          <w:b/>
          <w:color w:val="333333"/>
        </w:rPr>
      </w:pPr>
    </w:p>
    <w:p w14:paraId="18A7620F" w14:textId="77777777" w:rsidR="00603D4B" w:rsidRDefault="00603D4B" w:rsidP="004C3CB5">
      <w:pPr>
        <w:pStyle w:val="NormalWeb"/>
        <w:shd w:val="clear" w:color="auto" w:fill="FFFFFF"/>
        <w:spacing w:before="0" w:beforeAutospacing="0" w:after="150" w:afterAutospacing="0"/>
        <w:rPr>
          <w:b/>
          <w:color w:val="333333"/>
        </w:rPr>
      </w:pPr>
    </w:p>
    <w:p w14:paraId="6869AA12" w14:textId="77777777" w:rsidR="00603D4B" w:rsidRDefault="00603D4B" w:rsidP="004C3CB5">
      <w:pPr>
        <w:pStyle w:val="NormalWeb"/>
        <w:shd w:val="clear" w:color="auto" w:fill="FFFFFF"/>
        <w:spacing w:before="0" w:beforeAutospacing="0" w:after="150" w:afterAutospacing="0"/>
        <w:rPr>
          <w:b/>
          <w:color w:val="333333"/>
        </w:rPr>
      </w:pPr>
    </w:p>
    <w:p w14:paraId="38AE5F76" w14:textId="77777777" w:rsidR="00603D4B" w:rsidRDefault="00603D4B" w:rsidP="004C3CB5">
      <w:pPr>
        <w:pStyle w:val="NormalWeb"/>
        <w:shd w:val="clear" w:color="auto" w:fill="FFFFFF"/>
        <w:spacing w:before="0" w:beforeAutospacing="0" w:after="150" w:afterAutospacing="0"/>
        <w:rPr>
          <w:b/>
          <w:color w:val="333333"/>
        </w:rPr>
      </w:pPr>
    </w:p>
    <w:p w14:paraId="1491136D" w14:textId="77777777" w:rsidR="00603D4B" w:rsidRDefault="00603D4B" w:rsidP="004C3CB5">
      <w:pPr>
        <w:pStyle w:val="NormalWeb"/>
        <w:shd w:val="clear" w:color="auto" w:fill="FFFFFF"/>
        <w:spacing w:before="0" w:beforeAutospacing="0" w:after="150" w:afterAutospacing="0"/>
        <w:rPr>
          <w:b/>
          <w:color w:val="333333"/>
        </w:rPr>
      </w:pPr>
    </w:p>
    <w:p w14:paraId="1CA3031C" w14:textId="77777777" w:rsidR="00603D4B" w:rsidRDefault="00603D4B" w:rsidP="004C3CB5">
      <w:pPr>
        <w:pStyle w:val="NormalWeb"/>
        <w:shd w:val="clear" w:color="auto" w:fill="FFFFFF"/>
        <w:spacing w:before="0" w:beforeAutospacing="0" w:after="150" w:afterAutospacing="0"/>
        <w:rPr>
          <w:b/>
          <w:color w:val="333333"/>
        </w:rPr>
      </w:pPr>
    </w:p>
    <w:p w14:paraId="34BAF9BA" w14:textId="77777777" w:rsidR="00603D4B" w:rsidRDefault="00603D4B" w:rsidP="004C3CB5">
      <w:pPr>
        <w:pStyle w:val="NormalWeb"/>
        <w:shd w:val="clear" w:color="auto" w:fill="FFFFFF"/>
        <w:spacing w:before="0" w:beforeAutospacing="0" w:after="150" w:afterAutospacing="0"/>
        <w:rPr>
          <w:b/>
          <w:color w:val="333333"/>
        </w:rPr>
      </w:pPr>
    </w:p>
    <w:p w14:paraId="040B2306" w14:textId="77777777" w:rsidR="00603D4B" w:rsidRDefault="00603D4B" w:rsidP="004C3CB5">
      <w:pPr>
        <w:pStyle w:val="NormalWeb"/>
        <w:shd w:val="clear" w:color="auto" w:fill="FFFFFF"/>
        <w:spacing w:before="0" w:beforeAutospacing="0" w:after="150" w:afterAutospacing="0"/>
        <w:rPr>
          <w:b/>
          <w:color w:val="333333"/>
        </w:rPr>
      </w:pPr>
    </w:p>
    <w:p w14:paraId="3A4B5779" w14:textId="77777777" w:rsidR="00603D4B" w:rsidRDefault="00603D4B" w:rsidP="004C3CB5">
      <w:pPr>
        <w:pStyle w:val="NormalWeb"/>
        <w:shd w:val="clear" w:color="auto" w:fill="FFFFFF"/>
        <w:spacing w:before="0" w:beforeAutospacing="0" w:after="150" w:afterAutospacing="0"/>
        <w:rPr>
          <w:b/>
          <w:color w:val="333333"/>
        </w:rPr>
      </w:pPr>
    </w:p>
    <w:p w14:paraId="7767A2EE" w14:textId="77777777" w:rsidR="00603D4B" w:rsidRDefault="00603D4B" w:rsidP="004C3CB5">
      <w:pPr>
        <w:pStyle w:val="NormalWeb"/>
        <w:shd w:val="clear" w:color="auto" w:fill="FFFFFF"/>
        <w:spacing w:before="0" w:beforeAutospacing="0" w:after="150" w:afterAutospacing="0"/>
        <w:rPr>
          <w:b/>
          <w:color w:val="333333"/>
        </w:rPr>
      </w:pPr>
    </w:p>
    <w:p w14:paraId="5DE28CD4" w14:textId="77777777" w:rsidR="00603D4B" w:rsidRDefault="00603D4B" w:rsidP="004C3CB5">
      <w:pPr>
        <w:pStyle w:val="NormalWeb"/>
        <w:shd w:val="clear" w:color="auto" w:fill="FFFFFF"/>
        <w:spacing w:before="0" w:beforeAutospacing="0" w:after="150" w:afterAutospacing="0"/>
        <w:rPr>
          <w:b/>
          <w:color w:val="333333"/>
        </w:rPr>
      </w:pPr>
    </w:p>
    <w:p w14:paraId="57419155" w14:textId="77777777" w:rsidR="00603D4B" w:rsidRDefault="00603D4B" w:rsidP="004C3CB5">
      <w:pPr>
        <w:pStyle w:val="NormalWeb"/>
        <w:shd w:val="clear" w:color="auto" w:fill="FFFFFF"/>
        <w:spacing w:before="0" w:beforeAutospacing="0" w:after="150" w:afterAutospacing="0"/>
        <w:rPr>
          <w:b/>
          <w:color w:val="333333"/>
        </w:rPr>
      </w:pPr>
    </w:p>
    <w:p w14:paraId="09714E70" w14:textId="77777777" w:rsidR="00603D4B" w:rsidRDefault="00603D4B" w:rsidP="004C3CB5">
      <w:pPr>
        <w:pStyle w:val="NormalWeb"/>
        <w:shd w:val="clear" w:color="auto" w:fill="FFFFFF"/>
        <w:spacing w:before="0" w:beforeAutospacing="0" w:after="150" w:afterAutospacing="0"/>
        <w:rPr>
          <w:b/>
          <w:color w:val="333333"/>
        </w:rPr>
      </w:pPr>
    </w:p>
    <w:p w14:paraId="5ADAC905" w14:textId="77777777" w:rsidR="00603D4B" w:rsidRDefault="00603D4B" w:rsidP="004C3CB5">
      <w:pPr>
        <w:pStyle w:val="NormalWeb"/>
        <w:shd w:val="clear" w:color="auto" w:fill="FFFFFF"/>
        <w:spacing w:before="0" w:beforeAutospacing="0" w:after="150" w:afterAutospacing="0"/>
        <w:rPr>
          <w:b/>
          <w:color w:val="333333"/>
        </w:rPr>
      </w:pPr>
    </w:p>
    <w:p w14:paraId="55E21B81" w14:textId="25DDB0D7" w:rsidR="004C3CB5" w:rsidRPr="00526E10" w:rsidRDefault="00B32749" w:rsidP="004C3CB5">
      <w:pPr>
        <w:pStyle w:val="NormalWeb"/>
        <w:shd w:val="clear" w:color="auto" w:fill="FFFFFF"/>
        <w:spacing w:before="0" w:beforeAutospacing="0" w:after="150" w:afterAutospacing="0"/>
        <w:rPr>
          <w:b/>
          <w:color w:val="333333"/>
        </w:rPr>
      </w:pPr>
      <w:r>
        <w:rPr>
          <w:b/>
          <w:color w:val="333333"/>
        </w:rPr>
        <w:lastRenderedPageBreak/>
        <w:t xml:space="preserve">Appendix </w:t>
      </w:r>
      <w:r w:rsidR="004C3CB5" w:rsidRPr="00526E10">
        <w:rPr>
          <w:b/>
          <w:color w:val="333333"/>
        </w:rPr>
        <w:t xml:space="preserve">Figure </w:t>
      </w:r>
      <w:r w:rsidR="00F714D8">
        <w:rPr>
          <w:b/>
          <w:color w:val="333333"/>
        </w:rPr>
        <w:t>1</w:t>
      </w:r>
      <w:r w:rsidR="004C3CB5" w:rsidRPr="00526E10">
        <w:rPr>
          <w:b/>
          <w:color w:val="333333"/>
        </w:rPr>
        <w:t xml:space="preserve">. </w:t>
      </w:r>
      <w:r w:rsidR="004C3CB5">
        <w:rPr>
          <w:b/>
          <w:color w:val="333333"/>
        </w:rPr>
        <w:t>Comparison of respiratory rate measurements</w:t>
      </w:r>
      <w:r w:rsidR="004C3CB5" w:rsidRPr="00526E10">
        <w:rPr>
          <w:b/>
          <w:color w:val="333333"/>
        </w:rPr>
        <w:t xml:space="preserve"> by PCA and </w:t>
      </w:r>
      <w:r w:rsidR="004C3CB5">
        <w:rPr>
          <w:b/>
          <w:color w:val="333333"/>
        </w:rPr>
        <w:t xml:space="preserve">trained staff using </w:t>
      </w:r>
      <w:r w:rsidR="004C3CB5" w:rsidRPr="00526E10">
        <w:rPr>
          <w:b/>
          <w:color w:val="333333"/>
        </w:rPr>
        <w:t xml:space="preserve">gold-standard </w:t>
      </w:r>
      <w:r w:rsidR="004C3CB5">
        <w:rPr>
          <w:b/>
          <w:color w:val="333333"/>
        </w:rPr>
        <w:t>technique before the intervention (Top Panel) and after the intervention (Bottom Panel)</w:t>
      </w:r>
      <w:r w:rsidR="004C3CB5" w:rsidRPr="00526E10">
        <w:rPr>
          <w:b/>
          <w:color w:val="333333"/>
        </w:rPr>
        <w:t xml:space="preserve">. </w:t>
      </w:r>
    </w:p>
    <w:p w14:paraId="5E45F83B" w14:textId="77777777" w:rsidR="004C3CB5" w:rsidRPr="00F31A10" w:rsidRDefault="004C3CB5" w:rsidP="004C3CB5">
      <w:pPr>
        <w:pStyle w:val="NormalWeb"/>
        <w:shd w:val="clear" w:color="auto" w:fill="FFFFFF"/>
        <w:spacing w:before="0" w:beforeAutospacing="0" w:after="150" w:afterAutospacing="0"/>
        <w:rPr>
          <w:color w:val="333333"/>
        </w:rPr>
      </w:pPr>
      <w:r w:rsidRPr="00F31A10">
        <w:rPr>
          <w:noProof/>
          <w:color w:val="333333"/>
        </w:rPr>
        <w:drawing>
          <wp:inline distT="0" distB="0" distL="0" distR="0" wp14:anchorId="4FD26FA4" wp14:editId="5711BD1F">
            <wp:extent cx="3978910" cy="5283200"/>
            <wp:effectExtent l="0" t="0" r="0" b="0"/>
            <wp:docPr id="45" name="Picture 44">
              <a:extLst xmlns:a="http://schemas.openxmlformats.org/drawingml/2006/main">
                <a:ext uri="{FF2B5EF4-FFF2-40B4-BE49-F238E27FC236}">
                  <a16:creationId xmlns:a16="http://schemas.microsoft.com/office/drawing/2014/main" id="{E58DD828-E0AF-2741-9D8D-7AB75F9E6F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a:extLst>
                        <a:ext uri="{FF2B5EF4-FFF2-40B4-BE49-F238E27FC236}">
                          <a16:creationId xmlns:a16="http://schemas.microsoft.com/office/drawing/2014/main" id="{E58DD828-E0AF-2741-9D8D-7AB75F9E6F3F}"/>
                        </a:ext>
                      </a:extLst>
                    </pic:cNvPr>
                    <pic:cNvPicPr>
                      <a:picLocks noChangeAspect="1"/>
                    </pic:cNvPicPr>
                  </pic:nvPicPr>
                  <pic:blipFill>
                    <a:blip r:embed="rId6"/>
                    <a:stretch>
                      <a:fillRect/>
                    </a:stretch>
                  </pic:blipFill>
                  <pic:spPr>
                    <a:xfrm>
                      <a:off x="0" y="0"/>
                      <a:ext cx="3992888" cy="5301760"/>
                    </a:xfrm>
                    <a:prstGeom prst="rect">
                      <a:avLst/>
                    </a:prstGeom>
                  </pic:spPr>
                </pic:pic>
              </a:graphicData>
            </a:graphic>
          </wp:inline>
        </w:drawing>
      </w:r>
    </w:p>
    <w:p w14:paraId="66950D56" w14:textId="77777777" w:rsidR="00DA4368" w:rsidRDefault="004C3CB5" w:rsidP="004C3CB5">
      <w:r>
        <w:t>Abbreviations: GS, gold-standard; PCA, patient care assistant</w:t>
      </w:r>
    </w:p>
    <w:p w14:paraId="11FA688F" w14:textId="77777777" w:rsidR="00DA4368" w:rsidRDefault="00DA4368" w:rsidP="004C3CB5"/>
    <w:p w14:paraId="1AC4582C" w14:textId="77777777" w:rsidR="00DA4368" w:rsidRDefault="00DA4368" w:rsidP="004C3CB5"/>
    <w:p w14:paraId="6EA62012" w14:textId="77777777" w:rsidR="00DA4368" w:rsidRDefault="00DA4368" w:rsidP="004C3CB5"/>
    <w:p w14:paraId="2ACB0F99" w14:textId="77777777" w:rsidR="00DA4368" w:rsidRDefault="00DA4368" w:rsidP="004C3CB5"/>
    <w:p w14:paraId="7A701B2E" w14:textId="77777777" w:rsidR="00DA4368" w:rsidRDefault="00DA4368" w:rsidP="004C3CB5"/>
    <w:p w14:paraId="6F6CB2CE" w14:textId="77777777" w:rsidR="00DA4368" w:rsidRDefault="00DA4368" w:rsidP="004C3CB5"/>
    <w:p w14:paraId="05110ADF" w14:textId="77777777" w:rsidR="00DA4368" w:rsidRDefault="00DA4368" w:rsidP="004C3CB5"/>
    <w:p w14:paraId="587BE88E" w14:textId="77777777" w:rsidR="00DA4368" w:rsidRDefault="00DA4368" w:rsidP="004C3CB5"/>
    <w:p w14:paraId="144D7D03" w14:textId="77777777" w:rsidR="00DA4368" w:rsidRDefault="00DA4368" w:rsidP="004C3CB5"/>
    <w:p w14:paraId="4D796AA8" w14:textId="77777777" w:rsidR="00DA4368" w:rsidRDefault="00DA4368" w:rsidP="004C3CB5"/>
    <w:p w14:paraId="2959319E" w14:textId="77777777" w:rsidR="00DA4368" w:rsidRDefault="00DA4368" w:rsidP="004C3CB5"/>
    <w:p w14:paraId="5C61E09D" w14:textId="0B667E85" w:rsidR="00DA4368" w:rsidRDefault="00B32749" w:rsidP="004C3CB5">
      <w:r>
        <w:lastRenderedPageBreak/>
        <w:t>Appendix</w:t>
      </w:r>
      <w:r w:rsidR="00DA4368">
        <w:t xml:space="preserve"> Figure </w:t>
      </w:r>
      <w:r w:rsidR="00F714D8">
        <w:t>2</w:t>
      </w:r>
      <w:r w:rsidR="00DA4368">
        <w:t xml:space="preserve">: </w:t>
      </w:r>
      <w:r w:rsidR="00DA4368" w:rsidRPr="00DA4368">
        <w:t>Distribution of Respiratory Rates among Control and Intervention Units</w:t>
      </w:r>
    </w:p>
    <w:p w14:paraId="0ABAD3CF" w14:textId="77777777" w:rsidR="00524C9C" w:rsidRDefault="00DA4368" w:rsidP="00DA4368">
      <w:pPr>
        <w:jc w:val="center"/>
      </w:pPr>
      <w:r>
        <w:rPr>
          <w:noProof/>
        </w:rPr>
        <w:drawing>
          <wp:inline distT="0" distB="0" distL="0" distR="0" wp14:anchorId="2DFDA589" wp14:editId="41F4996E">
            <wp:extent cx="4458733" cy="3062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8681" cy="3082745"/>
                    </a:xfrm>
                    <a:prstGeom prst="rect">
                      <a:avLst/>
                    </a:prstGeom>
                  </pic:spPr>
                </pic:pic>
              </a:graphicData>
            </a:graphic>
          </wp:inline>
        </w:drawing>
      </w:r>
    </w:p>
    <w:p w14:paraId="22549021" w14:textId="77777777" w:rsidR="00524C9C" w:rsidRDefault="00524C9C" w:rsidP="00524C9C"/>
    <w:p w14:paraId="3D50DD81" w14:textId="678BC8D2" w:rsidR="004C3CB5" w:rsidRDefault="00524C9C" w:rsidP="00524C9C">
      <w:r w:rsidRPr="00F51062">
        <w:rPr>
          <w:color w:val="333333"/>
          <w:sz w:val="22"/>
          <w:szCs w:val="22"/>
        </w:rPr>
        <w:t>During the pre-intervention phase, the mean RR on the control units (n=48,277) was 18.4</w:t>
      </w:r>
      <w:r>
        <w:rPr>
          <w:color w:val="333333"/>
          <w:sz w:val="22"/>
          <w:szCs w:val="22"/>
        </w:rPr>
        <w:t xml:space="preserve"> with a standard deviation (SD) </w:t>
      </w:r>
      <w:r w:rsidRPr="00F51062">
        <w:rPr>
          <w:color w:val="333333"/>
          <w:sz w:val="22"/>
          <w:szCs w:val="22"/>
        </w:rPr>
        <w:t>±</w:t>
      </w:r>
      <w:r>
        <w:rPr>
          <w:color w:val="333333"/>
          <w:sz w:val="22"/>
          <w:szCs w:val="22"/>
        </w:rPr>
        <w:t xml:space="preserve"> 4.4 (</w:t>
      </w:r>
      <w:r>
        <w:rPr>
          <w:b/>
          <w:color w:val="333333"/>
          <w:sz w:val="22"/>
          <w:szCs w:val="22"/>
        </w:rPr>
        <w:t>upper left panel</w:t>
      </w:r>
      <w:r>
        <w:rPr>
          <w:color w:val="333333"/>
          <w:sz w:val="22"/>
          <w:szCs w:val="22"/>
        </w:rPr>
        <w:t>)</w:t>
      </w:r>
      <w:r w:rsidRPr="00F51062">
        <w:rPr>
          <w:color w:val="333333"/>
          <w:sz w:val="22"/>
          <w:szCs w:val="22"/>
        </w:rPr>
        <w:t>. This was qualitatively similar to the distribution of RRs on the intervention unit (n=</w:t>
      </w:r>
      <w:r>
        <w:rPr>
          <w:color w:val="333333"/>
          <w:sz w:val="22"/>
          <w:szCs w:val="22"/>
        </w:rPr>
        <w:t>19,467</w:t>
      </w:r>
      <w:r w:rsidRPr="00F51062">
        <w:rPr>
          <w:color w:val="333333"/>
          <w:sz w:val="22"/>
          <w:szCs w:val="22"/>
        </w:rPr>
        <w:t>; mean RR of 18.3±</w:t>
      </w:r>
      <w:r>
        <w:rPr>
          <w:color w:val="333333"/>
          <w:sz w:val="22"/>
          <w:szCs w:val="22"/>
        </w:rPr>
        <w:t xml:space="preserve">3.4; </w:t>
      </w:r>
      <w:r w:rsidRPr="00524C9C">
        <w:rPr>
          <w:b/>
          <w:color w:val="333333"/>
          <w:sz w:val="22"/>
          <w:szCs w:val="22"/>
        </w:rPr>
        <w:t>upper right panel</w:t>
      </w:r>
      <w:r w:rsidRPr="00F51062">
        <w:rPr>
          <w:color w:val="333333"/>
          <w:sz w:val="22"/>
          <w:szCs w:val="22"/>
        </w:rPr>
        <w:t>). Post-intervention, the control unit RRs (n=19</w:t>
      </w:r>
      <w:r>
        <w:rPr>
          <w:color w:val="333333"/>
          <w:sz w:val="22"/>
          <w:szCs w:val="22"/>
        </w:rPr>
        <w:t>,</w:t>
      </w:r>
      <w:r w:rsidRPr="00F51062">
        <w:rPr>
          <w:color w:val="333333"/>
          <w:sz w:val="22"/>
          <w:szCs w:val="22"/>
        </w:rPr>
        <w:t>627</w:t>
      </w:r>
      <w:r>
        <w:rPr>
          <w:color w:val="333333"/>
          <w:sz w:val="22"/>
          <w:szCs w:val="22"/>
        </w:rPr>
        <w:t xml:space="preserve">; </w:t>
      </w:r>
      <w:r w:rsidRPr="00524C9C">
        <w:rPr>
          <w:b/>
          <w:color w:val="333333"/>
          <w:sz w:val="22"/>
          <w:szCs w:val="22"/>
        </w:rPr>
        <w:t>lower left panel</w:t>
      </w:r>
      <w:r w:rsidRPr="00F51062">
        <w:rPr>
          <w:color w:val="333333"/>
          <w:sz w:val="22"/>
          <w:szCs w:val="22"/>
        </w:rPr>
        <w:t xml:space="preserve">) qualitatively had a similar distribution </w:t>
      </w:r>
      <w:r>
        <w:rPr>
          <w:color w:val="333333"/>
          <w:sz w:val="22"/>
          <w:szCs w:val="22"/>
        </w:rPr>
        <w:t xml:space="preserve">and were largely unchanged </w:t>
      </w:r>
      <w:r w:rsidRPr="00F51062">
        <w:rPr>
          <w:color w:val="333333"/>
          <w:sz w:val="22"/>
          <w:szCs w:val="22"/>
        </w:rPr>
        <w:t>compared with the pre and planning phases (mean</w:t>
      </w:r>
      <w:r>
        <w:rPr>
          <w:color w:val="333333"/>
          <w:sz w:val="22"/>
          <w:szCs w:val="22"/>
        </w:rPr>
        <w:t xml:space="preserve"> RR</w:t>
      </w:r>
      <w:r w:rsidRPr="00F51062">
        <w:rPr>
          <w:color w:val="333333"/>
          <w:sz w:val="22"/>
          <w:szCs w:val="22"/>
        </w:rPr>
        <w:t xml:space="preserve"> of </w:t>
      </w:r>
      <w:r>
        <w:rPr>
          <w:color w:val="333333"/>
          <w:sz w:val="22"/>
          <w:szCs w:val="22"/>
        </w:rPr>
        <w:t>18.4</w:t>
      </w:r>
      <w:r w:rsidRPr="00F51062">
        <w:rPr>
          <w:color w:val="333333"/>
          <w:sz w:val="22"/>
          <w:szCs w:val="22"/>
        </w:rPr>
        <w:t>±</w:t>
      </w:r>
      <w:r>
        <w:rPr>
          <w:color w:val="333333"/>
          <w:sz w:val="22"/>
          <w:szCs w:val="22"/>
        </w:rPr>
        <w:t xml:space="preserve">4.5, </w:t>
      </w:r>
      <w:r w:rsidRPr="00524C9C">
        <w:rPr>
          <w:b/>
          <w:color w:val="333333"/>
          <w:sz w:val="22"/>
          <w:szCs w:val="22"/>
        </w:rPr>
        <w:t>middle left panel</w:t>
      </w:r>
      <w:r w:rsidRPr="00F51062">
        <w:rPr>
          <w:color w:val="333333"/>
          <w:sz w:val="22"/>
          <w:szCs w:val="22"/>
        </w:rPr>
        <w:t>). After the intervention, RRs on the intervention unit (n=7,281</w:t>
      </w:r>
      <w:r>
        <w:rPr>
          <w:color w:val="333333"/>
          <w:sz w:val="22"/>
          <w:szCs w:val="22"/>
        </w:rPr>
        <w:t xml:space="preserve">; </w:t>
      </w:r>
      <w:r w:rsidRPr="00524C9C">
        <w:rPr>
          <w:b/>
          <w:color w:val="333333"/>
          <w:sz w:val="22"/>
          <w:szCs w:val="22"/>
        </w:rPr>
        <w:t>lower right panel</w:t>
      </w:r>
      <w:r w:rsidRPr="00F51062">
        <w:rPr>
          <w:color w:val="333333"/>
          <w:sz w:val="22"/>
          <w:szCs w:val="22"/>
        </w:rPr>
        <w:t xml:space="preserve">) had a lower </w:t>
      </w:r>
      <w:proofErr w:type="spellStart"/>
      <w:r w:rsidRPr="00F51062">
        <w:rPr>
          <w:color w:val="333333"/>
          <w:sz w:val="22"/>
          <w:szCs w:val="22"/>
        </w:rPr>
        <w:t>mean±SD</w:t>
      </w:r>
      <w:proofErr w:type="spellEnd"/>
      <w:r w:rsidRPr="00F51062">
        <w:rPr>
          <w:color w:val="333333"/>
          <w:sz w:val="22"/>
          <w:szCs w:val="22"/>
        </w:rPr>
        <w:t xml:space="preserve"> of 17.0</w:t>
      </w:r>
      <w:r>
        <w:rPr>
          <w:color w:val="333333"/>
          <w:sz w:val="22"/>
          <w:szCs w:val="22"/>
        </w:rPr>
        <w:t>±4.2 and</w:t>
      </w:r>
      <w:r w:rsidRPr="00F51062">
        <w:rPr>
          <w:color w:val="333333"/>
          <w:sz w:val="22"/>
          <w:szCs w:val="22"/>
        </w:rPr>
        <w:t xml:space="preserve"> </w:t>
      </w:r>
      <w:r>
        <w:rPr>
          <w:color w:val="333333"/>
          <w:sz w:val="22"/>
          <w:szCs w:val="22"/>
        </w:rPr>
        <w:t>were</w:t>
      </w:r>
      <w:r w:rsidRPr="00F51062">
        <w:rPr>
          <w:color w:val="333333"/>
          <w:sz w:val="22"/>
          <w:szCs w:val="22"/>
        </w:rPr>
        <w:t xml:space="preserve"> </w:t>
      </w:r>
      <w:r>
        <w:rPr>
          <w:color w:val="333333"/>
          <w:sz w:val="22"/>
          <w:szCs w:val="22"/>
        </w:rPr>
        <w:t xml:space="preserve">qualitatively </w:t>
      </w:r>
      <w:r w:rsidRPr="00F51062">
        <w:rPr>
          <w:color w:val="333333"/>
          <w:sz w:val="22"/>
          <w:szCs w:val="22"/>
        </w:rPr>
        <w:t xml:space="preserve">more normally distributed </w:t>
      </w:r>
      <w:r>
        <w:rPr>
          <w:color w:val="333333"/>
          <w:sz w:val="22"/>
          <w:szCs w:val="22"/>
        </w:rPr>
        <w:t>than pre and planning phases (</w:t>
      </w:r>
      <w:r w:rsidRPr="00524C9C">
        <w:rPr>
          <w:b/>
          <w:color w:val="333333"/>
          <w:sz w:val="22"/>
          <w:szCs w:val="22"/>
        </w:rPr>
        <w:t>upper right and middle right panels</w:t>
      </w:r>
      <w:r>
        <w:rPr>
          <w:color w:val="333333"/>
          <w:sz w:val="22"/>
          <w:szCs w:val="22"/>
        </w:rPr>
        <w:t xml:space="preserve"> </w:t>
      </w:r>
      <w:r>
        <w:rPr>
          <w:b/>
          <w:color w:val="333333"/>
          <w:sz w:val="22"/>
          <w:szCs w:val="22"/>
        </w:rPr>
        <w:t>respectively</w:t>
      </w:r>
      <w:r>
        <w:rPr>
          <w:color w:val="333333"/>
          <w:sz w:val="22"/>
          <w:szCs w:val="22"/>
        </w:rPr>
        <w:t>)</w:t>
      </w:r>
      <w:r w:rsidRPr="00F51062">
        <w:rPr>
          <w:color w:val="333333"/>
          <w:sz w:val="22"/>
          <w:szCs w:val="22"/>
        </w:rPr>
        <w:t>.</w:t>
      </w:r>
      <w:r w:rsidR="004C3CB5">
        <w:br w:type="page"/>
      </w:r>
    </w:p>
    <w:p w14:paraId="5CC0109E" w14:textId="4F4A5EA8" w:rsidR="00DA4368" w:rsidRDefault="00DA4368" w:rsidP="004C3CB5"/>
    <w:p w14:paraId="731E2407" w14:textId="77777777" w:rsidR="00DA4368" w:rsidRPr="00F66449" w:rsidRDefault="00DA4368" w:rsidP="004C3CB5"/>
    <w:tbl>
      <w:tblPr>
        <w:tblStyle w:val="TableGrid"/>
        <w:tblpPr w:leftFromText="180" w:rightFromText="180" w:vertAnchor="page" w:horzAnchor="margin" w:tblpY="196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808"/>
        <w:gridCol w:w="808"/>
        <w:gridCol w:w="872"/>
        <w:gridCol w:w="733"/>
        <w:gridCol w:w="733"/>
        <w:gridCol w:w="872"/>
        <w:gridCol w:w="3378"/>
      </w:tblGrid>
      <w:tr w:rsidR="00694F02" w:rsidRPr="00FB774E" w14:paraId="494FF056" w14:textId="77777777" w:rsidTr="00694F02">
        <w:trPr>
          <w:trHeight w:val="240"/>
        </w:trPr>
        <w:tc>
          <w:tcPr>
            <w:tcW w:w="9810" w:type="dxa"/>
            <w:gridSpan w:val="8"/>
            <w:tcBorders>
              <w:top w:val="single" w:sz="12" w:space="0" w:color="auto"/>
              <w:bottom w:val="single" w:sz="4" w:space="0" w:color="auto"/>
            </w:tcBorders>
          </w:tcPr>
          <w:p w14:paraId="0F444677" w14:textId="56CCDFA4" w:rsidR="00694F02" w:rsidRPr="00356346" w:rsidRDefault="00B32749" w:rsidP="00694F02">
            <w:pPr>
              <w:rPr>
                <w:b/>
                <w:sz w:val="20"/>
                <w:szCs w:val="20"/>
              </w:rPr>
            </w:pPr>
            <w:r>
              <w:rPr>
                <w:b/>
                <w:sz w:val="20"/>
                <w:szCs w:val="20"/>
              </w:rPr>
              <w:t>Appendix</w:t>
            </w:r>
            <w:r w:rsidR="00694F02">
              <w:rPr>
                <w:b/>
                <w:sz w:val="20"/>
                <w:szCs w:val="20"/>
              </w:rPr>
              <w:t xml:space="preserve"> Table S1. Effect of Intervention to Improve Respiratory Rate Accuracy on SIRS Incidence</w:t>
            </w:r>
            <w:r w:rsidR="00694F02" w:rsidRPr="00356346">
              <w:rPr>
                <w:b/>
                <w:sz w:val="20"/>
                <w:szCs w:val="20"/>
                <w:vertAlign w:val="superscript"/>
              </w:rPr>
              <w:t>†</w:t>
            </w:r>
          </w:p>
        </w:tc>
      </w:tr>
      <w:tr w:rsidR="00694F02" w:rsidRPr="00FB774E" w14:paraId="0FA4EF79" w14:textId="77777777" w:rsidTr="00694F02">
        <w:trPr>
          <w:trHeight w:val="260"/>
        </w:trPr>
        <w:tc>
          <w:tcPr>
            <w:tcW w:w="1606" w:type="dxa"/>
            <w:tcBorders>
              <w:top w:val="single" w:sz="4" w:space="0" w:color="auto"/>
              <w:bottom w:val="single" w:sz="4" w:space="0" w:color="auto"/>
            </w:tcBorders>
          </w:tcPr>
          <w:p w14:paraId="1AC3FA6C" w14:textId="77777777" w:rsidR="00694F02" w:rsidRPr="00FB774E" w:rsidRDefault="00694F02" w:rsidP="00694F02">
            <w:pPr>
              <w:jc w:val="center"/>
              <w:rPr>
                <w:sz w:val="20"/>
                <w:szCs w:val="20"/>
              </w:rPr>
            </w:pPr>
          </w:p>
        </w:tc>
        <w:tc>
          <w:tcPr>
            <w:tcW w:w="2488" w:type="dxa"/>
            <w:gridSpan w:val="3"/>
            <w:tcBorders>
              <w:top w:val="single" w:sz="4" w:space="0" w:color="auto"/>
              <w:bottom w:val="single" w:sz="4" w:space="0" w:color="auto"/>
            </w:tcBorders>
            <w:hideMark/>
          </w:tcPr>
          <w:p w14:paraId="6B6AB947" w14:textId="77777777" w:rsidR="00694F02" w:rsidRPr="00356346" w:rsidRDefault="00694F02" w:rsidP="00694F02">
            <w:pPr>
              <w:jc w:val="center"/>
              <w:rPr>
                <w:b/>
                <w:sz w:val="20"/>
                <w:szCs w:val="20"/>
              </w:rPr>
            </w:pPr>
            <w:r w:rsidRPr="00356346">
              <w:rPr>
                <w:b/>
                <w:sz w:val="20"/>
                <w:szCs w:val="20"/>
              </w:rPr>
              <w:t>Intervention unit</w:t>
            </w:r>
          </w:p>
        </w:tc>
        <w:tc>
          <w:tcPr>
            <w:tcW w:w="2338" w:type="dxa"/>
            <w:gridSpan w:val="3"/>
            <w:tcBorders>
              <w:top w:val="single" w:sz="4" w:space="0" w:color="auto"/>
              <w:bottom w:val="single" w:sz="4" w:space="0" w:color="auto"/>
            </w:tcBorders>
            <w:hideMark/>
          </w:tcPr>
          <w:p w14:paraId="7852D3E6" w14:textId="77777777" w:rsidR="00694F02" w:rsidRPr="00356346" w:rsidRDefault="00694F02" w:rsidP="00694F02">
            <w:pPr>
              <w:jc w:val="center"/>
              <w:rPr>
                <w:b/>
                <w:sz w:val="20"/>
                <w:szCs w:val="20"/>
              </w:rPr>
            </w:pPr>
            <w:r w:rsidRPr="00356346">
              <w:rPr>
                <w:b/>
                <w:sz w:val="20"/>
                <w:szCs w:val="20"/>
              </w:rPr>
              <w:t>Control units</w:t>
            </w:r>
          </w:p>
        </w:tc>
        <w:tc>
          <w:tcPr>
            <w:tcW w:w="3378" w:type="dxa"/>
            <w:tcBorders>
              <w:top w:val="single" w:sz="4" w:space="0" w:color="auto"/>
              <w:bottom w:val="single" w:sz="4" w:space="0" w:color="auto"/>
            </w:tcBorders>
            <w:hideMark/>
          </w:tcPr>
          <w:p w14:paraId="1C98092E" w14:textId="77777777" w:rsidR="00694F02" w:rsidRPr="00FB774E" w:rsidRDefault="00694F02" w:rsidP="00694F02">
            <w:pPr>
              <w:jc w:val="center"/>
              <w:rPr>
                <w:sz w:val="20"/>
                <w:szCs w:val="20"/>
              </w:rPr>
            </w:pPr>
          </w:p>
        </w:tc>
      </w:tr>
      <w:tr w:rsidR="00694F02" w:rsidRPr="00356346" w14:paraId="65C82301" w14:textId="77777777" w:rsidTr="00694F02">
        <w:trPr>
          <w:trHeight w:hRule="exact" w:val="280"/>
        </w:trPr>
        <w:tc>
          <w:tcPr>
            <w:tcW w:w="1606" w:type="dxa"/>
            <w:tcBorders>
              <w:top w:val="single" w:sz="4" w:space="0" w:color="auto"/>
              <w:bottom w:val="single" w:sz="4" w:space="0" w:color="auto"/>
            </w:tcBorders>
          </w:tcPr>
          <w:p w14:paraId="4583AC8E" w14:textId="77777777" w:rsidR="00694F02" w:rsidRPr="00356346" w:rsidRDefault="00694F02" w:rsidP="00694F02">
            <w:pPr>
              <w:rPr>
                <w:b/>
                <w:sz w:val="20"/>
                <w:szCs w:val="20"/>
              </w:rPr>
            </w:pPr>
            <w:r w:rsidRPr="00356346">
              <w:rPr>
                <w:b/>
                <w:sz w:val="20"/>
                <w:szCs w:val="20"/>
              </w:rPr>
              <w:t>Outcome</w:t>
            </w:r>
          </w:p>
        </w:tc>
        <w:tc>
          <w:tcPr>
            <w:tcW w:w="808" w:type="dxa"/>
            <w:tcBorders>
              <w:top w:val="single" w:sz="4" w:space="0" w:color="auto"/>
              <w:bottom w:val="single" w:sz="4" w:space="0" w:color="auto"/>
            </w:tcBorders>
            <w:hideMark/>
          </w:tcPr>
          <w:p w14:paraId="677F94E2" w14:textId="77777777" w:rsidR="00694F02" w:rsidRPr="00356346" w:rsidRDefault="00694F02" w:rsidP="00694F02">
            <w:pPr>
              <w:jc w:val="center"/>
              <w:rPr>
                <w:b/>
                <w:sz w:val="20"/>
                <w:szCs w:val="20"/>
              </w:rPr>
            </w:pPr>
            <w:r w:rsidRPr="00356346">
              <w:rPr>
                <w:b/>
                <w:sz w:val="20"/>
                <w:szCs w:val="20"/>
              </w:rPr>
              <w:t>Pre</w:t>
            </w:r>
          </w:p>
        </w:tc>
        <w:tc>
          <w:tcPr>
            <w:tcW w:w="808" w:type="dxa"/>
            <w:tcBorders>
              <w:top w:val="single" w:sz="4" w:space="0" w:color="auto"/>
              <w:bottom w:val="single" w:sz="4" w:space="0" w:color="auto"/>
            </w:tcBorders>
            <w:hideMark/>
          </w:tcPr>
          <w:p w14:paraId="247F7F04" w14:textId="77777777" w:rsidR="00694F02" w:rsidRPr="00356346" w:rsidRDefault="00694F02" w:rsidP="00694F02">
            <w:pPr>
              <w:jc w:val="center"/>
              <w:rPr>
                <w:b/>
                <w:sz w:val="20"/>
                <w:szCs w:val="20"/>
              </w:rPr>
            </w:pPr>
            <w:r w:rsidRPr="00356346">
              <w:rPr>
                <w:b/>
                <w:sz w:val="20"/>
                <w:szCs w:val="20"/>
              </w:rPr>
              <w:t>Post</w:t>
            </w:r>
          </w:p>
        </w:tc>
        <w:tc>
          <w:tcPr>
            <w:tcW w:w="872" w:type="dxa"/>
            <w:tcBorders>
              <w:top w:val="single" w:sz="4" w:space="0" w:color="auto"/>
              <w:bottom w:val="single" w:sz="4" w:space="0" w:color="auto"/>
            </w:tcBorders>
            <w:hideMark/>
          </w:tcPr>
          <w:p w14:paraId="4A3878EC" w14:textId="77777777" w:rsidR="00694F02" w:rsidRPr="00356346" w:rsidRDefault="00694F02" w:rsidP="00694F02">
            <w:pPr>
              <w:jc w:val="center"/>
              <w:rPr>
                <w:b/>
                <w:sz w:val="20"/>
                <w:szCs w:val="20"/>
                <w:vertAlign w:val="superscript"/>
              </w:rPr>
            </w:pPr>
            <w:r w:rsidRPr="00356346">
              <w:rPr>
                <w:b/>
                <w:sz w:val="20"/>
                <w:szCs w:val="20"/>
              </w:rPr>
              <w:t>Change</w:t>
            </w:r>
          </w:p>
        </w:tc>
        <w:tc>
          <w:tcPr>
            <w:tcW w:w="733" w:type="dxa"/>
            <w:tcBorders>
              <w:top w:val="single" w:sz="4" w:space="0" w:color="auto"/>
              <w:bottom w:val="single" w:sz="4" w:space="0" w:color="auto"/>
            </w:tcBorders>
            <w:hideMark/>
          </w:tcPr>
          <w:p w14:paraId="7383BF9C" w14:textId="77777777" w:rsidR="00694F02" w:rsidRPr="00356346" w:rsidRDefault="00694F02" w:rsidP="00694F02">
            <w:pPr>
              <w:jc w:val="center"/>
              <w:rPr>
                <w:b/>
                <w:sz w:val="20"/>
                <w:szCs w:val="20"/>
              </w:rPr>
            </w:pPr>
            <w:r w:rsidRPr="00356346">
              <w:rPr>
                <w:b/>
                <w:sz w:val="20"/>
                <w:szCs w:val="20"/>
              </w:rPr>
              <w:t>Pre</w:t>
            </w:r>
          </w:p>
        </w:tc>
        <w:tc>
          <w:tcPr>
            <w:tcW w:w="733" w:type="dxa"/>
            <w:tcBorders>
              <w:top w:val="single" w:sz="4" w:space="0" w:color="auto"/>
              <w:bottom w:val="single" w:sz="4" w:space="0" w:color="auto"/>
            </w:tcBorders>
            <w:hideMark/>
          </w:tcPr>
          <w:p w14:paraId="205AC79F" w14:textId="77777777" w:rsidR="00694F02" w:rsidRPr="00356346" w:rsidRDefault="00694F02" w:rsidP="00694F02">
            <w:pPr>
              <w:jc w:val="center"/>
              <w:rPr>
                <w:b/>
                <w:sz w:val="20"/>
                <w:szCs w:val="20"/>
              </w:rPr>
            </w:pPr>
            <w:r w:rsidRPr="00356346">
              <w:rPr>
                <w:b/>
                <w:sz w:val="20"/>
                <w:szCs w:val="20"/>
              </w:rPr>
              <w:t>Post</w:t>
            </w:r>
          </w:p>
        </w:tc>
        <w:tc>
          <w:tcPr>
            <w:tcW w:w="872" w:type="dxa"/>
            <w:tcBorders>
              <w:top w:val="single" w:sz="4" w:space="0" w:color="auto"/>
              <w:bottom w:val="single" w:sz="4" w:space="0" w:color="auto"/>
            </w:tcBorders>
            <w:hideMark/>
          </w:tcPr>
          <w:p w14:paraId="55A8F3A8" w14:textId="77777777" w:rsidR="00694F02" w:rsidRPr="00356346" w:rsidRDefault="00694F02" w:rsidP="00694F02">
            <w:pPr>
              <w:jc w:val="center"/>
              <w:rPr>
                <w:b/>
                <w:sz w:val="20"/>
                <w:szCs w:val="20"/>
              </w:rPr>
            </w:pPr>
            <w:r w:rsidRPr="00356346">
              <w:rPr>
                <w:b/>
                <w:sz w:val="20"/>
                <w:szCs w:val="20"/>
              </w:rPr>
              <w:t>Change</w:t>
            </w:r>
          </w:p>
        </w:tc>
        <w:tc>
          <w:tcPr>
            <w:tcW w:w="3378" w:type="dxa"/>
            <w:tcBorders>
              <w:top w:val="single" w:sz="4" w:space="0" w:color="auto"/>
              <w:bottom w:val="single" w:sz="4" w:space="0" w:color="auto"/>
            </w:tcBorders>
            <w:hideMark/>
          </w:tcPr>
          <w:p w14:paraId="4D984627" w14:textId="77777777" w:rsidR="00694F02" w:rsidRPr="00356346" w:rsidRDefault="00694F02" w:rsidP="00694F02">
            <w:pPr>
              <w:jc w:val="center"/>
              <w:rPr>
                <w:b/>
                <w:sz w:val="20"/>
                <w:szCs w:val="20"/>
              </w:rPr>
            </w:pPr>
            <w:r w:rsidRPr="00356346">
              <w:rPr>
                <w:b/>
                <w:sz w:val="20"/>
                <w:szCs w:val="20"/>
              </w:rPr>
              <w:t>Difference-in-Differences (95% CI)</w:t>
            </w:r>
          </w:p>
        </w:tc>
      </w:tr>
      <w:tr w:rsidR="00694F02" w:rsidRPr="00FB774E" w14:paraId="285DB914" w14:textId="77777777" w:rsidTr="00694F02">
        <w:trPr>
          <w:trHeight w:hRule="exact" w:val="288"/>
        </w:trPr>
        <w:tc>
          <w:tcPr>
            <w:tcW w:w="1606" w:type="dxa"/>
            <w:tcBorders>
              <w:top w:val="single" w:sz="4" w:space="0" w:color="auto"/>
            </w:tcBorders>
          </w:tcPr>
          <w:p w14:paraId="49F3B93A" w14:textId="77777777" w:rsidR="00694F02" w:rsidRPr="00FB774E" w:rsidRDefault="00694F02" w:rsidP="00694F02">
            <w:pPr>
              <w:rPr>
                <w:sz w:val="20"/>
                <w:szCs w:val="20"/>
              </w:rPr>
            </w:pPr>
            <w:r>
              <w:rPr>
                <w:sz w:val="20"/>
                <w:szCs w:val="20"/>
              </w:rPr>
              <w:t>SIRS incidence*</w:t>
            </w:r>
          </w:p>
        </w:tc>
        <w:tc>
          <w:tcPr>
            <w:tcW w:w="808" w:type="dxa"/>
            <w:tcBorders>
              <w:top w:val="single" w:sz="4" w:space="0" w:color="auto"/>
            </w:tcBorders>
          </w:tcPr>
          <w:p w14:paraId="2615B413" w14:textId="77777777" w:rsidR="00694F02" w:rsidRPr="00FB774E" w:rsidRDefault="00694F02" w:rsidP="00694F02">
            <w:pPr>
              <w:jc w:val="center"/>
              <w:rPr>
                <w:sz w:val="20"/>
                <w:szCs w:val="20"/>
              </w:rPr>
            </w:pPr>
          </w:p>
        </w:tc>
        <w:tc>
          <w:tcPr>
            <w:tcW w:w="808" w:type="dxa"/>
            <w:tcBorders>
              <w:top w:val="single" w:sz="4" w:space="0" w:color="auto"/>
            </w:tcBorders>
          </w:tcPr>
          <w:p w14:paraId="29A9F3C0" w14:textId="77777777" w:rsidR="00694F02" w:rsidRPr="00FB774E" w:rsidRDefault="00694F02" w:rsidP="00694F02">
            <w:pPr>
              <w:jc w:val="center"/>
              <w:rPr>
                <w:sz w:val="20"/>
                <w:szCs w:val="20"/>
              </w:rPr>
            </w:pPr>
          </w:p>
        </w:tc>
        <w:tc>
          <w:tcPr>
            <w:tcW w:w="872" w:type="dxa"/>
            <w:tcBorders>
              <w:top w:val="single" w:sz="4" w:space="0" w:color="auto"/>
            </w:tcBorders>
          </w:tcPr>
          <w:p w14:paraId="77F8E516" w14:textId="77777777" w:rsidR="00694F02" w:rsidRPr="00FB774E" w:rsidRDefault="00694F02" w:rsidP="00694F02">
            <w:pPr>
              <w:jc w:val="center"/>
              <w:rPr>
                <w:sz w:val="20"/>
                <w:szCs w:val="20"/>
              </w:rPr>
            </w:pPr>
          </w:p>
        </w:tc>
        <w:tc>
          <w:tcPr>
            <w:tcW w:w="733" w:type="dxa"/>
            <w:tcBorders>
              <w:top w:val="single" w:sz="4" w:space="0" w:color="auto"/>
            </w:tcBorders>
          </w:tcPr>
          <w:p w14:paraId="2279831E" w14:textId="77777777" w:rsidR="00694F02" w:rsidRPr="00FB774E" w:rsidRDefault="00694F02" w:rsidP="00694F02">
            <w:pPr>
              <w:jc w:val="center"/>
              <w:rPr>
                <w:sz w:val="20"/>
                <w:szCs w:val="20"/>
              </w:rPr>
            </w:pPr>
          </w:p>
        </w:tc>
        <w:tc>
          <w:tcPr>
            <w:tcW w:w="733" w:type="dxa"/>
            <w:tcBorders>
              <w:top w:val="single" w:sz="4" w:space="0" w:color="auto"/>
            </w:tcBorders>
          </w:tcPr>
          <w:p w14:paraId="2AA7CEC5" w14:textId="77777777" w:rsidR="00694F02" w:rsidRPr="00FB774E" w:rsidRDefault="00694F02" w:rsidP="00694F02">
            <w:pPr>
              <w:jc w:val="center"/>
              <w:rPr>
                <w:sz w:val="20"/>
                <w:szCs w:val="20"/>
              </w:rPr>
            </w:pPr>
          </w:p>
        </w:tc>
        <w:tc>
          <w:tcPr>
            <w:tcW w:w="872" w:type="dxa"/>
            <w:tcBorders>
              <w:top w:val="single" w:sz="4" w:space="0" w:color="auto"/>
            </w:tcBorders>
          </w:tcPr>
          <w:p w14:paraId="02B4303D" w14:textId="77777777" w:rsidR="00694F02" w:rsidRPr="00FB774E" w:rsidRDefault="00694F02" w:rsidP="00694F02">
            <w:pPr>
              <w:jc w:val="center"/>
              <w:rPr>
                <w:sz w:val="20"/>
                <w:szCs w:val="20"/>
              </w:rPr>
            </w:pPr>
          </w:p>
        </w:tc>
        <w:tc>
          <w:tcPr>
            <w:tcW w:w="3378" w:type="dxa"/>
            <w:tcBorders>
              <w:top w:val="single" w:sz="4" w:space="0" w:color="auto"/>
            </w:tcBorders>
          </w:tcPr>
          <w:p w14:paraId="55AB5160" w14:textId="77777777" w:rsidR="00694F02" w:rsidRPr="00FB774E" w:rsidRDefault="00694F02" w:rsidP="00694F02">
            <w:pPr>
              <w:jc w:val="center"/>
              <w:rPr>
                <w:sz w:val="20"/>
                <w:szCs w:val="20"/>
              </w:rPr>
            </w:pPr>
          </w:p>
        </w:tc>
      </w:tr>
      <w:tr w:rsidR="00694F02" w:rsidRPr="00FB774E" w14:paraId="42262C80" w14:textId="77777777" w:rsidTr="00694F02">
        <w:trPr>
          <w:trHeight w:hRule="exact" w:val="288"/>
        </w:trPr>
        <w:tc>
          <w:tcPr>
            <w:tcW w:w="1606" w:type="dxa"/>
            <w:hideMark/>
          </w:tcPr>
          <w:p w14:paraId="2E91FFA5" w14:textId="77777777" w:rsidR="00694F02" w:rsidRPr="00FB774E" w:rsidRDefault="00694F02" w:rsidP="00694F02">
            <w:pPr>
              <w:rPr>
                <w:sz w:val="20"/>
                <w:szCs w:val="20"/>
              </w:rPr>
            </w:pPr>
            <w:r>
              <w:rPr>
                <w:sz w:val="20"/>
                <w:szCs w:val="20"/>
              </w:rPr>
              <w:t xml:space="preserve">  </w:t>
            </w:r>
            <w:r w:rsidRPr="00FB774E">
              <w:rPr>
                <w:sz w:val="20"/>
                <w:szCs w:val="20"/>
              </w:rPr>
              <w:t>Vital sign set</w:t>
            </w:r>
          </w:p>
        </w:tc>
        <w:tc>
          <w:tcPr>
            <w:tcW w:w="808" w:type="dxa"/>
            <w:hideMark/>
          </w:tcPr>
          <w:p w14:paraId="32092C71" w14:textId="77777777" w:rsidR="00694F02" w:rsidRPr="00FB774E" w:rsidRDefault="00694F02" w:rsidP="00694F02">
            <w:pPr>
              <w:jc w:val="center"/>
              <w:rPr>
                <w:sz w:val="20"/>
                <w:szCs w:val="20"/>
              </w:rPr>
            </w:pPr>
            <w:r w:rsidRPr="00FB774E">
              <w:rPr>
                <w:sz w:val="20"/>
                <w:szCs w:val="20"/>
              </w:rPr>
              <w:t>20.8%</w:t>
            </w:r>
          </w:p>
        </w:tc>
        <w:tc>
          <w:tcPr>
            <w:tcW w:w="808" w:type="dxa"/>
            <w:hideMark/>
          </w:tcPr>
          <w:p w14:paraId="24FABA2D" w14:textId="77777777" w:rsidR="00694F02" w:rsidRPr="00FB774E" w:rsidRDefault="00694F02" w:rsidP="00694F02">
            <w:pPr>
              <w:jc w:val="center"/>
              <w:rPr>
                <w:sz w:val="20"/>
                <w:szCs w:val="20"/>
              </w:rPr>
            </w:pPr>
            <w:r w:rsidRPr="00FB774E">
              <w:rPr>
                <w:sz w:val="20"/>
                <w:szCs w:val="20"/>
              </w:rPr>
              <w:t>16.3%</w:t>
            </w:r>
          </w:p>
        </w:tc>
        <w:tc>
          <w:tcPr>
            <w:tcW w:w="872" w:type="dxa"/>
            <w:hideMark/>
          </w:tcPr>
          <w:p w14:paraId="41C522FE" w14:textId="77777777" w:rsidR="00694F02" w:rsidRPr="00FB774E" w:rsidRDefault="00694F02" w:rsidP="00694F02">
            <w:pPr>
              <w:jc w:val="center"/>
              <w:rPr>
                <w:sz w:val="20"/>
                <w:szCs w:val="20"/>
              </w:rPr>
            </w:pPr>
            <w:r w:rsidRPr="00FB774E">
              <w:rPr>
                <w:sz w:val="20"/>
                <w:szCs w:val="20"/>
              </w:rPr>
              <w:t>-4.5%</w:t>
            </w:r>
          </w:p>
        </w:tc>
        <w:tc>
          <w:tcPr>
            <w:tcW w:w="733" w:type="dxa"/>
            <w:hideMark/>
          </w:tcPr>
          <w:p w14:paraId="42DC5186" w14:textId="77777777" w:rsidR="00694F02" w:rsidRPr="00FB774E" w:rsidRDefault="00694F02" w:rsidP="00694F02">
            <w:pPr>
              <w:jc w:val="center"/>
              <w:rPr>
                <w:sz w:val="20"/>
                <w:szCs w:val="20"/>
              </w:rPr>
            </w:pPr>
            <w:r w:rsidRPr="00FB774E">
              <w:rPr>
                <w:sz w:val="20"/>
                <w:szCs w:val="20"/>
              </w:rPr>
              <w:t>14.4%</w:t>
            </w:r>
          </w:p>
        </w:tc>
        <w:tc>
          <w:tcPr>
            <w:tcW w:w="733" w:type="dxa"/>
            <w:hideMark/>
          </w:tcPr>
          <w:p w14:paraId="1930670F" w14:textId="77777777" w:rsidR="00694F02" w:rsidRPr="00FB774E" w:rsidRDefault="00694F02" w:rsidP="00694F02">
            <w:pPr>
              <w:jc w:val="center"/>
              <w:rPr>
                <w:sz w:val="20"/>
                <w:szCs w:val="20"/>
              </w:rPr>
            </w:pPr>
            <w:r w:rsidRPr="00FB774E">
              <w:rPr>
                <w:sz w:val="20"/>
                <w:szCs w:val="20"/>
              </w:rPr>
              <w:t>12.9%</w:t>
            </w:r>
          </w:p>
        </w:tc>
        <w:tc>
          <w:tcPr>
            <w:tcW w:w="872" w:type="dxa"/>
            <w:hideMark/>
          </w:tcPr>
          <w:p w14:paraId="70EE7B12" w14:textId="77777777" w:rsidR="00694F02" w:rsidRPr="00FB774E" w:rsidRDefault="00694F02" w:rsidP="00694F02">
            <w:pPr>
              <w:jc w:val="center"/>
              <w:rPr>
                <w:sz w:val="20"/>
                <w:szCs w:val="20"/>
              </w:rPr>
            </w:pPr>
            <w:r w:rsidRPr="00FB774E">
              <w:rPr>
                <w:sz w:val="20"/>
                <w:szCs w:val="20"/>
              </w:rPr>
              <w:t>-1.5%</w:t>
            </w:r>
          </w:p>
        </w:tc>
        <w:tc>
          <w:tcPr>
            <w:tcW w:w="3378" w:type="dxa"/>
            <w:hideMark/>
          </w:tcPr>
          <w:p w14:paraId="07F44C77" w14:textId="77777777" w:rsidR="00694F02" w:rsidRPr="00FB774E" w:rsidRDefault="00694F02" w:rsidP="00694F02">
            <w:pPr>
              <w:jc w:val="center"/>
              <w:rPr>
                <w:sz w:val="20"/>
                <w:szCs w:val="20"/>
              </w:rPr>
            </w:pPr>
            <w:r w:rsidRPr="00FB774E">
              <w:rPr>
                <w:sz w:val="20"/>
                <w:szCs w:val="20"/>
              </w:rPr>
              <w:t>-2.9% (-8.3% to +2.4%)</w:t>
            </w:r>
          </w:p>
        </w:tc>
      </w:tr>
      <w:tr w:rsidR="00694F02" w:rsidRPr="00FB774E" w14:paraId="0EE2D89F" w14:textId="77777777" w:rsidTr="00694F02">
        <w:trPr>
          <w:trHeight w:hRule="exact" w:val="283"/>
        </w:trPr>
        <w:tc>
          <w:tcPr>
            <w:tcW w:w="1606" w:type="dxa"/>
            <w:hideMark/>
          </w:tcPr>
          <w:p w14:paraId="4D85F7FA" w14:textId="77777777" w:rsidR="00694F02" w:rsidRPr="00FB774E" w:rsidRDefault="00694F02" w:rsidP="00694F02">
            <w:pPr>
              <w:rPr>
                <w:sz w:val="20"/>
                <w:szCs w:val="20"/>
              </w:rPr>
            </w:pPr>
            <w:r>
              <w:rPr>
                <w:sz w:val="20"/>
                <w:szCs w:val="20"/>
              </w:rPr>
              <w:t xml:space="preserve">  </w:t>
            </w:r>
            <w:r w:rsidRPr="00FB774E">
              <w:rPr>
                <w:sz w:val="20"/>
                <w:szCs w:val="20"/>
              </w:rPr>
              <w:t>Hospital day</w:t>
            </w:r>
          </w:p>
        </w:tc>
        <w:tc>
          <w:tcPr>
            <w:tcW w:w="808" w:type="dxa"/>
            <w:hideMark/>
          </w:tcPr>
          <w:p w14:paraId="2787049E" w14:textId="77777777" w:rsidR="00694F02" w:rsidRPr="00FB774E" w:rsidRDefault="00694F02" w:rsidP="00694F02">
            <w:pPr>
              <w:jc w:val="center"/>
              <w:rPr>
                <w:sz w:val="20"/>
                <w:szCs w:val="20"/>
              </w:rPr>
            </w:pPr>
            <w:r w:rsidRPr="00FB774E">
              <w:rPr>
                <w:sz w:val="20"/>
                <w:szCs w:val="20"/>
              </w:rPr>
              <w:t>40.8%</w:t>
            </w:r>
          </w:p>
        </w:tc>
        <w:tc>
          <w:tcPr>
            <w:tcW w:w="808" w:type="dxa"/>
            <w:hideMark/>
          </w:tcPr>
          <w:p w14:paraId="01C8F03A" w14:textId="77777777" w:rsidR="00694F02" w:rsidRPr="00FB774E" w:rsidRDefault="00694F02" w:rsidP="00694F02">
            <w:pPr>
              <w:jc w:val="center"/>
              <w:rPr>
                <w:sz w:val="20"/>
                <w:szCs w:val="20"/>
              </w:rPr>
            </w:pPr>
            <w:r w:rsidRPr="00FB774E">
              <w:rPr>
                <w:sz w:val="20"/>
                <w:szCs w:val="20"/>
              </w:rPr>
              <w:t>34.4%</w:t>
            </w:r>
          </w:p>
        </w:tc>
        <w:tc>
          <w:tcPr>
            <w:tcW w:w="872" w:type="dxa"/>
            <w:hideMark/>
          </w:tcPr>
          <w:p w14:paraId="14B497D9" w14:textId="77777777" w:rsidR="00694F02" w:rsidRPr="00FB774E" w:rsidRDefault="00694F02" w:rsidP="00694F02">
            <w:pPr>
              <w:jc w:val="center"/>
              <w:rPr>
                <w:sz w:val="20"/>
                <w:szCs w:val="20"/>
              </w:rPr>
            </w:pPr>
            <w:r w:rsidRPr="00FB774E">
              <w:rPr>
                <w:sz w:val="20"/>
                <w:szCs w:val="20"/>
              </w:rPr>
              <w:t>-6.3%</w:t>
            </w:r>
          </w:p>
        </w:tc>
        <w:tc>
          <w:tcPr>
            <w:tcW w:w="733" w:type="dxa"/>
            <w:hideMark/>
          </w:tcPr>
          <w:p w14:paraId="6F320AD7" w14:textId="77777777" w:rsidR="00694F02" w:rsidRPr="00FB774E" w:rsidRDefault="00694F02" w:rsidP="00694F02">
            <w:pPr>
              <w:jc w:val="center"/>
              <w:rPr>
                <w:sz w:val="20"/>
                <w:szCs w:val="20"/>
              </w:rPr>
            </w:pPr>
            <w:r w:rsidRPr="00FB774E">
              <w:rPr>
                <w:sz w:val="20"/>
                <w:szCs w:val="20"/>
              </w:rPr>
              <w:t>32.9%</w:t>
            </w:r>
          </w:p>
        </w:tc>
        <w:tc>
          <w:tcPr>
            <w:tcW w:w="733" w:type="dxa"/>
            <w:hideMark/>
          </w:tcPr>
          <w:p w14:paraId="6DD6D4FC" w14:textId="77777777" w:rsidR="00694F02" w:rsidRPr="00FB774E" w:rsidRDefault="00694F02" w:rsidP="00694F02">
            <w:pPr>
              <w:jc w:val="center"/>
              <w:rPr>
                <w:sz w:val="20"/>
                <w:szCs w:val="20"/>
              </w:rPr>
            </w:pPr>
            <w:r w:rsidRPr="00FB774E">
              <w:rPr>
                <w:sz w:val="20"/>
                <w:szCs w:val="20"/>
              </w:rPr>
              <w:t>31.2%</w:t>
            </w:r>
          </w:p>
        </w:tc>
        <w:tc>
          <w:tcPr>
            <w:tcW w:w="872" w:type="dxa"/>
            <w:hideMark/>
          </w:tcPr>
          <w:p w14:paraId="65B5C38D" w14:textId="77777777" w:rsidR="00694F02" w:rsidRPr="00FB774E" w:rsidRDefault="00694F02" w:rsidP="00694F02">
            <w:pPr>
              <w:jc w:val="center"/>
              <w:rPr>
                <w:sz w:val="20"/>
                <w:szCs w:val="20"/>
              </w:rPr>
            </w:pPr>
            <w:r w:rsidRPr="00FB774E">
              <w:rPr>
                <w:sz w:val="20"/>
                <w:szCs w:val="20"/>
              </w:rPr>
              <w:t>-1.7%</w:t>
            </w:r>
          </w:p>
        </w:tc>
        <w:tc>
          <w:tcPr>
            <w:tcW w:w="3378" w:type="dxa"/>
            <w:hideMark/>
          </w:tcPr>
          <w:p w14:paraId="091BE9BE" w14:textId="77777777" w:rsidR="00694F02" w:rsidRPr="00FB774E" w:rsidRDefault="00694F02" w:rsidP="00694F02">
            <w:pPr>
              <w:jc w:val="center"/>
              <w:rPr>
                <w:sz w:val="20"/>
                <w:szCs w:val="20"/>
              </w:rPr>
            </w:pPr>
            <w:r w:rsidRPr="00FB774E">
              <w:rPr>
                <w:sz w:val="20"/>
                <w:szCs w:val="20"/>
              </w:rPr>
              <w:t>-4.6% (-12.2% to +3.0%)</w:t>
            </w:r>
          </w:p>
        </w:tc>
      </w:tr>
      <w:tr w:rsidR="00694F02" w:rsidRPr="00FB774E" w14:paraId="7FE91B4D" w14:textId="77777777" w:rsidTr="00694F02">
        <w:trPr>
          <w:trHeight w:hRule="exact" w:val="265"/>
        </w:trPr>
        <w:tc>
          <w:tcPr>
            <w:tcW w:w="1606" w:type="dxa"/>
            <w:tcBorders>
              <w:bottom w:val="single" w:sz="4" w:space="0" w:color="auto"/>
            </w:tcBorders>
            <w:hideMark/>
          </w:tcPr>
          <w:p w14:paraId="2F9D00E3" w14:textId="77777777" w:rsidR="00694F02" w:rsidRPr="00FB774E" w:rsidRDefault="00694F02" w:rsidP="00694F02">
            <w:pPr>
              <w:rPr>
                <w:sz w:val="20"/>
                <w:szCs w:val="20"/>
              </w:rPr>
            </w:pPr>
            <w:r>
              <w:rPr>
                <w:sz w:val="20"/>
                <w:szCs w:val="20"/>
              </w:rPr>
              <w:t xml:space="preserve">  </w:t>
            </w:r>
            <w:r w:rsidRPr="00FB774E">
              <w:rPr>
                <w:sz w:val="20"/>
                <w:szCs w:val="20"/>
              </w:rPr>
              <w:t>Hospitalization</w:t>
            </w:r>
          </w:p>
        </w:tc>
        <w:tc>
          <w:tcPr>
            <w:tcW w:w="808" w:type="dxa"/>
            <w:tcBorders>
              <w:bottom w:val="single" w:sz="4" w:space="0" w:color="auto"/>
            </w:tcBorders>
            <w:hideMark/>
          </w:tcPr>
          <w:p w14:paraId="3537D5FD" w14:textId="77777777" w:rsidR="00694F02" w:rsidRPr="00FB774E" w:rsidRDefault="00694F02" w:rsidP="00694F02">
            <w:pPr>
              <w:jc w:val="center"/>
              <w:rPr>
                <w:sz w:val="20"/>
                <w:szCs w:val="20"/>
              </w:rPr>
            </w:pPr>
            <w:r w:rsidRPr="00FB774E">
              <w:rPr>
                <w:sz w:val="20"/>
                <w:szCs w:val="20"/>
              </w:rPr>
              <w:t>56.5%</w:t>
            </w:r>
          </w:p>
        </w:tc>
        <w:tc>
          <w:tcPr>
            <w:tcW w:w="808" w:type="dxa"/>
            <w:tcBorders>
              <w:bottom w:val="single" w:sz="4" w:space="0" w:color="auto"/>
            </w:tcBorders>
            <w:hideMark/>
          </w:tcPr>
          <w:p w14:paraId="3A19165D" w14:textId="77777777" w:rsidR="00694F02" w:rsidRPr="00FB774E" w:rsidRDefault="00694F02" w:rsidP="00694F02">
            <w:pPr>
              <w:jc w:val="center"/>
              <w:rPr>
                <w:sz w:val="20"/>
                <w:szCs w:val="20"/>
              </w:rPr>
            </w:pPr>
            <w:r w:rsidRPr="00FB774E">
              <w:rPr>
                <w:sz w:val="20"/>
                <w:szCs w:val="20"/>
              </w:rPr>
              <w:t>56.6%</w:t>
            </w:r>
          </w:p>
        </w:tc>
        <w:tc>
          <w:tcPr>
            <w:tcW w:w="872" w:type="dxa"/>
            <w:tcBorders>
              <w:bottom w:val="single" w:sz="4" w:space="0" w:color="auto"/>
            </w:tcBorders>
            <w:hideMark/>
          </w:tcPr>
          <w:p w14:paraId="6F7BC440" w14:textId="77777777" w:rsidR="00694F02" w:rsidRPr="00FB774E" w:rsidRDefault="00694F02" w:rsidP="00694F02">
            <w:pPr>
              <w:jc w:val="center"/>
              <w:rPr>
                <w:sz w:val="20"/>
                <w:szCs w:val="20"/>
              </w:rPr>
            </w:pPr>
            <w:r w:rsidRPr="00FB774E">
              <w:rPr>
                <w:sz w:val="20"/>
                <w:szCs w:val="20"/>
              </w:rPr>
              <w:t>0.1%</w:t>
            </w:r>
          </w:p>
        </w:tc>
        <w:tc>
          <w:tcPr>
            <w:tcW w:w="733" w:type="dxa"/>
            <w:tcBorders>
              <w:bottom w:val="single" w:sz="4" w:space="0" w:color="auto"/>
            </w:tcBorders>
            <w:hideMark/>
          </w:tcPr>
          <w:p w14:paraId="7A24BC9D" w14:textId="77777777" w:rsidR="00694F02" w:rsidRPr="00FB774E" w:rsidRDefault="00694F02" w:rsidP="00694F02">
            <w:pPr>
              <w:jc w:val="center"/>
              <w:rPr>
                <w:sz w:val="20"/>
                <w:szCs w:val="20"/>
              </w:rPr>
            </w:pPr>
            <w:r w:rsidRPr="00FB774E">
              <w:rPr>
                <w:sz w:val="20"/>
                <w:szCs w:val="20"/>
              </w:rPr>
              <w:t>53.9%</w:t>
            </w:r>
          </w:p>
        </w:tc>
        <w:tc>
          <w:tcPr>
            <w:tcW w:w="733" w:type="dxa"/>
            <w:tcBorders>
              <w:bottom w:val="single" w:sz="4" w:space="0" w:color="auto"/>
            </w:tcBorders>
            <w:hideMark/>
          </w:tcPr>
          <w:p w14:paraId="6E64CC7E" w14:textId="77777777" w:rsidR="00694F02" w:rsidRPr="00FB774E" w:rsidRDefault="00694F02" w:rsidP="00694F02">
            <w:pPr>
              <w:jc w:val="center"/>
              <w:rPr>
                <w:sz w:val="20"/>
                <w:szCs w:val="20"/>
              </w:rPr>
            </w:pPr>
            <w:r w:rsidRPr="00FB774E">
              <w:rPr>
                <w:sz w:val="20"/>
                <w:szCs w:val="20"/>
              </w:rPr>
              <w:t>57.2%</w:t>
            </w:r>
          </w:p>
        </w:tc>
        <w:tc>
          <w:tcPr>
            <w:tcW w:w="872" w:type="dxa"/>
            <w:tcBorders>
              <w:bottom w:val="single" w:sz="4" w:space="0" w:color="auto"/>
            </w:tcBorders>
            <w:hideMark/>
          </w:tcPr>
          <w:p w14:paraId="2C05E88C" w14:textId="77777777" w:rsidR="00694F02" w:rsidRPr="00FB774E" w:rsidRDefault="00694F02" w:rsidP="00694F02">
            <w:pPr>
              <w:jc w:val="center"/>
              <w:rPr>
                <w:sz w:val="20"/>
                <w:szCs w:val="20"/>
              </w:rPr>
            </w:pPr>
            <w:r w:rsidRPr="00FB774E">
              <w:rPr>
                <w:sz w:val="20"/>
                <w:szCs w:val="20"/>
              </w:rPr>
              <w:t>3.3%</w:t>
            </w:r>
          </w:p>
        </w:tc>
        <w:tc>
          <w:tcPr>
            <w:tcW w:w="3378" w:type="dxa"/>
            <w:tcBorders>
              <w:bottom w:val="single" w:sz="4" w:space="0" w:color="auto"/>
            </w:tcBorders>
            <w:hideMark/>
          </w:tcPr>
          <w:p w14:paraId="79B7168D" w14:textId="77777777" w:rsidR="00694F02" w:rsidRPr="00FB774E" w:rsidRDefault="00694F02" w:rsidP="00694F02">
            <w:pPr>
              <w:jc w:val="center"/>
              <w:rPr>
                <w:sz w:val="20"/>
                <w:szCs w:val="20"/>
              </w:rPr>
            </w:pPr>
            <w:r w:rsidRPr="00FB774E">
              <w:rPr>
                <w:sz w:val="20"/>
                <w:szCs w:val="20"/>
              </w:rPr>
              <w:t>-3.2% (-10.2% to +3.7%)</w:t>
            </w:r>
          </w:p>
        </w:tc>
      </w:tr>
      <w:tr w:rsidR="00694F02" w:rsidRPr="00FB774E" w14:paraId="4243F28B" w14:textId="77777777" w:rsidTr="00694F02">
        <w:trPr>
          <w:trHeight w:hRule="exact" w:val="288"/>
        </w:trPr>
        <w:tc>
          <w:tcPr>
            <w:tcW w:w="9810" w:type="dxa"/>
            <w:gridSpan w:val="8"/>
            <w:tcBorders>
              <w:top w:val="single" w:sz="4" w:space="0" w:color="auto"/>
            </w:tcBorders>
          </w:tcPr>
          <w:p w14:paraId="2CC95162" w14:textId="77777777" w:rsidR="00694F02" w:rsidRPr="00FB774E" w:rsidRDefault="00694F02" w:rsidP="00694F02">
            <w:pPr>
              <w:rPr>
                <w:sz w:val="20"/>
                <w:szCs w:val="20"/>
              </w:rPr>
            </w:pPr>
            <w:r>
              <w:rPr>
                <w:sz w:val="20"/>
                <w:szCs w:val="20"/>
              </w:rPr>
              <w:t>Tachypnea-specific SIRS incidence**</w:t>
            </w:r>
          </w:p>
        </w:tc>
      </w:tr>
      <w:tr w:rsidR="00694F02" w:rsidRPr="00FB774E" w14:paraId="3639F05F" w14:textId="77777777" w:rsidTr="00694F02">
        <w:trPr>
          <w:trHeight w:hRule="exact" w:val="288"/>
        </w:trPr>
        <w:tc>
          <w:tcPr>
            <w:tcW w:w="1606" w:type="dxa"/>
            <w:hideMark/>
          </w:tcPr>
          <w:p w14:paraId="43BCA573" w14:textId="77777777" w:rsidR="00694F02" w:rsidRPr="00FB774E" w:rsidRDefault="00694F02" w:rsidP="00694F02">
            <w:pPr>
              <w:rPr>
                <w:sz w:val="20"/>
                <w:szCs w:val="20"/>
              </w:rPr>
            </w:pPr>
            <w:r>
              <w:rPr>
                <w:sz w:val="20"/>
                <w:szCs w:val="20"/>
              </w:rPr>
              <w:t xml:space="preserve">  </w:t>
            </w:r>
            <w:r w:rsidRPr="00FB774E">
              <w:rPr>
                <w:sz w:val="20"/>
                <w:szCs w:val="20"/>
              </w:rPr>
              <w:t>Vital sign set</w:t>
            </w:r>
          </w:p>
        </w:tc>
        <w:tc>
          <w:tcPr>
            <w:tcW w:w="808" w:type="dxa"/>
            <w:hideMark/>
          </w:tcPr>
          <w:p w14:paraId="3723F648" w14:textId="77777777" w:rsidR="00694F02" w:rsidRPr="00FB774E" w:rsidRDefault="00694F02" w:rsidP="00694F02">
            <w:pPr>
              <w:jc w:val="center"/>
              <w:rPr>
                <w:sz w:val="20"/>
                <w:szCs w:val="20"/>
              </w:rPr>
            </w:pPr>
            <w:r w:rsidRPr="00FB774E">
              <w:rPr>
                <w:sz w:val="20"/>
                <w:szCs w:val="20"/>
              </w:rPr>
              <w:t>2.8%</w:t>
            </w:r>
          </w:p>
        </w:tc>
        <w:tc>
          <w:tcPr>
            <w:tcW w:w="808" w:type="dxa"/>
            <w:hideMark/>
          </w:tcPr>
          <w:p w14:paraId="79AC0943" w14:textId="77777777" w:rsidR="00694F02" w:rsidRPr="00FB774E" w:rsidRDefault="00694F02" w:rsidP="00694F02">
            <w:pPr>
              <w:jc w:val="center"/>
              <w:rPr>
                <w:sz w:val="20"/>
                <w:szCs w:val="20"/>
              </w:rPr>
            </w:pPr>
            <w:r w:rsidRPr="00FB774E">
              <w:rPr>
                <w:sz w:val="20"/>
                <w:szCs w:val="20"/>
              </w:rPr>
              <w:t>2.7%</w:t>
            </w:r>
          </w:p>
        </w:tc>
        <w:tc>
          <w:tcPr>
            <w:tcW w:w="872" w:type="dxa"/>
            <w:hideMark/>
          </w:tcPr>
          <w:p w14:paraId="57EC38C3" w14:textId="77777777" w:rsidR="00694F02" w:rsidRPr="00FB774E" w:rsidRDefault="00694F02" w:rsidP="00694F02">
            <w:pPr>
              <w:jc w:val="center"/>
              <w:rPr>
                <w:sz w:val="20"/>
                <w:szCs w:val="20"/>
              </w:rPr>
            </w:pPr>
            <w:r w:rsidRPr="00FB774E">
              <w:rPr>
                <w:sz w:val="20"/>
                <w:szCs w:val="20"/>
              </w:rPr>
              <w:t>-0.1%</w:t>
            </w:r>
          </w:p>
        </w:tc>
        <w:tc>
          <w:tcPr>
            <w:tcW w:w="733" w:type="dxa"/>
            <w:hideMark/>
          </w:tcPr>
          <w:p w14:paraId="1C4A808F" w14:textId="77777777" w:rsidR="00694F02" w:rsidRPr="00FB774E" w:rsidRDefault="00694F02" w:rsidP="00694F02">
            <w:pPr>
              <w:jc w:val="center"/>
              <w:rPr>
                <w:sz w:val="20"/>
                <w:szCs w:val="20"/>
              </w:rPr>
            </w:pPr>
            <w:r w:rsidRPr="00FB774E">
              <w:rPr>
                <w:sz w:val="20"/>
                <w:szCs w:val="20"/>
              </w:rPr>
              <w:t>1.7%</w:t>
            </w:r>
          </w:p>
        </w:tc>
        <w:tc>
          <w:tcPr>
            <w:tcW w:w="733" w:type="dxa"/>
            <w:hideMark/>
          </w:tcPr>
          <w:p w14:paraId="7132C11E" w14:textId="77777777" w:rsidR="00694F02" w:rsidRPr="00FB774E" w:rsidRDefault="00694F02" w:rsidP="00694F02">
            <w:pPr>
              <w:jc w:val="center"/>
              <w:rPr>
                <w:sz w:val="20"/>
                <w:szCs w:val="20"/>
              </w:rPr>
            </w:pPr>
            <w:r w:rsidRPr="00FB774E">
              <w:rPr>
                <w:sz w:val="20"/>
                <w:szCs w:val="20"/>
              </w:rPr>
              <w:t>1.9%</w:t>
            </w:r>
          </w:p>
        </w:tc>
        <w:tc>
          <w:tcPr>
            <w:tcW w:w="872" w:type="dxa"/>
            <w:hideMark/>
          </w:tcPr>
          <w:p w14:paraId="43278D91" w14:textId="77777777" w:rsidR="00694F02" w:rsidRPr="00FB774E" w:rsidRDefault="00694F02" w:rsidP="00694F02">
            <w:pPr>
              <w:jc w:val="center"/>
              <w:rPr>
                <w:sz w:val="20"/>
                <w:szCs w:val="20"/>
              </w:rPr>
            </w:pPr>
            <w:r w:rsidRPr="00FB774E">
              <w:rPr>
                <w:sz w:val="20"/>
                <w:szCs w:val="20"/>
              </w:rPr>
              <w:t>0.2%</w:t>
            </w:r>
          </w:p>
        </w:tc>
        <w:tc>
          <w:tcPr>
            <w:tcW w:w="3378" w:type="dxa"/>
            <w:hideMark/>
          </w:tcPr>
          <w:p w14:paraId="5F6EBC48" w14:textId="77777777" w:rsidR="00694F02" w:rsidRPr="00FB774E" w:rsidRDefault="00694F02" w:rsidP="00694F02">
            <w:pPr>
              <w:jc w:val="center"/>
              <w:rPr>
                <w:sz w:val="20"/>
                <w:szCs w:val="20"/>
              </w:rPr>
            </w:pPr>
            <w:r w:rsidRPr="00FB774E">
              <w:rPr>
                <w:sz w:val="20"/>
                <w:szCs w:val="20"/>
              </w:rPr>
              <w:t>-0.3% (-1.4% to +0.9%)</w:t>
            </w:r>
          </w:p>
        </w:tc>
      </w:tr>
      <w:tr w:rsidR="00694F02" w:rsidRPr="00FB774E" w14:paraId="5867EA90" w14:textId="77777777" w:rsidTr="00694F02">
        <w:trPr>
          <w:trHeight w:hRule="exact" w:val="288"/>
        </w:trPr>
        <w:tc>
          <w:tcPr>
            <w:tcW w:w="1606" w:type="dxa"/>
            <w:hideMark/>
          </w:tcPr>
          <w:p w14:paraId="67C73AA9" w14:textId="77777777" w:rsidR="00694F02" w:rsidRPr="00FB774E" w:rsidRDefault="00694F02" w:rsidP="00694F02">
            <w:pPr>
              <w:rPr>
                <w:sz w:val="20"/>
                <w:szCs w:val="20"/>
              </w:rPr>
            </w:pPr>
            <w:r>
              <w:rPr>
                <w:sz w:val="20"/>
                <w:szCs w:val="20"/>
              </w:rPr>
              <w:t xml:space="preserve">  </w:t>
            </w:r>
            <w:r w:rsidRPr="00FB774E">
              <w:rPr>
                <w:sz w:val="20"/>
                <w:szCs w:val="20"/>
              </w:rPr>
              <w:t>Hospital day</w:t>
            </w:r>
          </w:p>
        </w:tc>
        <w:tc>
          <w:tcPr>
            <w:tcW w:w="808" w:type="dxa"/>
            <w:hideMark/>
          </w:tcPr>
          <w:p w14:paraId="6122508A" w14:textId="77777777" w:rsidR="00694F02" w:rsidRPr="00FB774E" w:rsidRDefault="00694F02" w:rsidP="00694F02">
            <w:pPr>
              <w:jc w:val="center"/>
              <w:rPr>
                <w:sz w:val="20"/>
                <w:szCs w:val="20"/>
              </w:rPr>
            </w:pPr>
            <w:r w:rsidRPr="00FB774E">
              <w:rPr>
                <w:sz w:val="20"/>
                <w:szCs w:val="20"/>
              </w:rPr>
              <w:t>9.8%</w:t>
            </w:r>
          </w:p>
        </w:tc>
        <w:tc>
          <w:tcPr>
            <w:tcW w:w="808" w:type="dxa"/>
            <w:hideMark/>
          </w:tcPr>
          <w:p w14:paraId="7C78B497" w14:textId="77777777" w:rsidR="00694F02" w:rsidRPr="00FB774E" w:rsidRDefault="00694F02" w:rsidP="00694F02">
            <w:pPr>
              <w:jc w:val="center"/>
              <w:rPr>
                <w:sz w:val="20"/>
                <w:szCs w:val="20"/>
              </w:rPr>
            </w:pPr>
            <w:r w:rsidRPr="00FB774E">
              <w:rPr>
                <w:sz w:val="20"/>
                <w:szCs w:val="20"/>
              </w:rPr>
              <w:t>8.8%</w:t>
            </w:r>
          </w:p>
        </w:tc>
        <w:tc>
          <w:tcPr>
            <w:tcW w:w="872" w:type="dxa"/>
            <w:hideMark/>
          </w:tcPr>
          <w:p w14:paraId="3DB50BBA" w14:textId="77777777" w:rsidR="00694F02" w:rsidRPr="00FB774E" w:rsidRDefault="00694F02" w:rsidP="00694F02">
            <w:pPr>
              <w:jc w:val="center"/>
              <w:rPr>
                <w:sz w:val="20"/>
                <w:szCs w:val="20"/>
              </w:rPr>
            </w:pPr>
            <w:r w:rsidRPr="00FB774E">
              <w:rPr>
                <w:sz w:val="20"/>
                <w:szCs w:val="20"/>
              </w:rPr>
              <w:t>-1.0%</w:t>
            </w:r>
          </w:p>
        </w:tc>
        <w:tc>
          <w:tcPr>
            <w:tcW w:w="733" w:type="dxa"/>
            <w:hideMark/>
          </w:tcPr>
          <w:p w14:paraId="658FB69C" w14:textId="77777777" w:rsidR="00694F02" w:rsidRPr="00FB774E" w:rsidRDefault="00694F02" w:rsidP="00694F02">
            <w:pPr>
              <w:jc w:val="center"/>
              <w:rPr>
                <w:sz w:val="20"/>
                <w:szCs w:val="20"/>
              </w:rPr>
            </w:pPr>
            <w:r w:rsidRPr="00FB774E">
              <w:rPr>
                <w:sz w:val="20"/>
                <w:szCs w:val="20"/>
              </w:rPr>
              <w:t>5.9%</w:t>
            </w:r>
          </w:p>
        </w:tc>
        <w:tc>
          <w:tcPr>
            <w:tcW w:w="733" w:type="dxa"/>
            <w:hideMark/>
          </w:tcPr>
          <w:p w14:paraId="555D68EB" w14:textId="77777777" w:rsidR="00694F02" w:rsidRPr="00FB774E" w:rsidRDefault="00694F02" w:rsidP="00694F02">
            <w:pPr>
              <w:jc w:val="center"/>
              <w:rPr>
                <w:sz w:val="20"/>
                <w:szCs w:val="20"/>
              </w:rPr>
            </w:pPr>
            <w:r w:rsidRPr="00FB774E">
              <w:rPr>
                <w:sz w:val="20"/>
                <w:szCs w:val="20"/>
              </w:rPr>
              <w:t>8.2%</w:t>
            </w:r>
          </w:p>
        </w:tc>
        <w:tc>
          <w:tcPr>
            <w:tcW w:w="872" w:type="dxa"/>
            <w:hideMark/>
          </w:tcPr>
          <w:p w14:paraId="7B8EEEF0" w14:textId="77777777" w:rsidR="00694F02" w:rsidRPr="00FB774E" w:rsidRDefault="00694F02" w:rsidP="00694F02">
            <w:pPr>
              <w:jc w:val="center"/>
              <w:rPr>
                <w:sz w:val="20"/>
                <w:szCs w:val="20"/>
              </w:rPr>
            </w:pPr>
            <w:r w:rsidRPr="00FB774E">
              <w:rPr>
                <w:sz w:val="20"/>
                <w:szCs w:val="20"/>
              </w:rPr>
              <w:t>2.3%</w:t>
            </w:r>
          </w:p>
        </w:tc>
        <w:tc>
          <w:tcPr>
            <w:tcW w:w="3378" w:type="dxa"/>
            <w:hideMark/>
          </w:tcPr>
          <w:p w14:paraId="357158C9" w14:textId="77777777" w:rsidR="00694F02" w:rsidRPr="00FB774E" w:rsidRDefault="00694F02" w:rsidP="00694F02">
            <w:pPr>
              <w:jc w:val="center"/>
              <w:rPr>
                <w:sz w:val="20"/>
                <w:szCs w:val="20"/>
              </w:rPr>
            </w:pPr>
            <w:r w:rsidRPr="00FB774E">
              <w:rPr>
                <w:sz w:val="20"/>
                <w:szCs w:val="20"/>
              </w:rPr>
              <w:t>-3.3</w:t>
            </w:r>
            <w:r>
              <w:rPr>
                <w:sz w:val="20"/>
                <w:szCs w:val="20"/>
              </w:rPr>
              <w:t>%</w:t>
            </w:r>
            <w:r w:rsidRPr="00FB774E">
              <w:rPr>
                <w:sz w:val="20"/>
                <w:szCs w:val="20"/>
              </w:rPr>
              <w:t xml:space="preserve"> (-6.4</w:t>
            </w:r>
            <w:r>
              <w:rPr>
                <w:sz w:val="20"/>
                <w:szCs w:val="20"/>
              </w:rPr>
              <w:t>%</w:t>
            </w:r>
            <w:r w:rsidRPr="00FB774E">
              <w:rPr>
                <w:sz w:val="20"/>
                <w:szCs w:val="20"/>
              </w:rPr>
              <w:t xml:space="preserve"> to -0.0%)</w:t>
            </w:r>
          </w:p>
        </w:tc>
      </w:tr>
      <w:tr w:rsidR="00694F02" w:rsidRPr="00FB774E" w14:paraId="4636782A" w14:textId="77777777" w:rsidTr="00694F02">
        <w:trPr>
          <w:trHeight w:hRule="exact" w:val="283"/>
        </w:trPr>
        <w:tc>
          <w:tcPr>
            <w:tcW w:w="1606" w:type="dxa"/>
            <w:tcBorders>
              <w:bottom w:val="single" w:sz="4" w:space="0" w:color="auto"/>
            </w:tcBorders>
            <w:hideMark/>
          </w:tcPr>
          <w:p w14:paraId="259E8476" w14:textId="77777777" w:rsidR="00694F02" w:rsidRPr="00FB774E" w:rsidRDefault="00694F02" w:rsidP="00694F02">
            <w:pPr>
              <w:rPr>
                <w:sz w:val="20"/>
                <w:szCs w:val="20"/>
              </w:rPr>
            </w:pPr>
            <w:r>
              <w:rPr>
                <w:sz w:val="20"/>
                <w:szCs w:val="20"/>
              </w:rPr>
              <w:t xml:space="preserve">  </w:t>
            </w:r>
            <w:r w:rsidRPr="00FB774E">
              <w:rPr>
                <w:sz w:val="20"/>
                <w:szCs w:val="20"/>
              </w:rPr>
              <w:t>Hospitalization</w:t>
            </w:r>
          </w:p>
        </w:tc>
        <w:tc>
          <w:tcPr>
            <w:tcW w:w="808" w:type="dxa"/>
            <w:tcBorders>
              <w:bottom w:val="single" w:sz="4" w:space="0" w:color="auto"/>
            </w:tcBorders>
            <w:hideMark/>
          </w:tcPr>
          <w:p w14:paraId="4D4C56CB" w14:textId="77777777" w:rsidR="00694F02" w:rsidRPr="00FB774E" w:rsidRDefault="00694F02" w:rsidP="00694F02">
            <w:pPr>
              <w:jc w:val="center"/>
              <w:rPr>
                <w:sz w:val="20"/>
                <w:szCs w:val="20"/>
              </w:rPr>
            </w:pPr>
            <w:r w:rsidRPr="00FB774E">
              <w:rPr>
                <w:sz w:val="20"/>
                <w:szCs w:val="20"/>
              </w:rPr>
              <w:t>24.8%</w:t>
            </w:r>
          </w:p>
        </w:tc>
        <w:tc>
          <w:tcPr>
            <w:tcW w:w="808" w:type="dxa"/>
            <w:tcBorders>
              <w:bottom w:val="single" w:sz="4" w:space="0" w:color="auto"/>
            </w:tcBorders>
            <w:hideMark/>
          </w:tcPr>
          <w:p w14:paraId="04AA7EDE" w14:textId="77777777" w:rsidR="00694F02" w:rsidRPr="00FB774E" w:rsidRDefault="00694F02" w:rsidP="00694F02">
            <w:pPr>
              <w:jc w:val="center"/>
              <w:rPr>
                <w:sz w:val="20"/>
                <w:szCs w:val="20"/>
              </w:rPr>
            </w:pPr>
            <w:r w:rsidRPr="00FB774E">
              <w:rPr>
                <w:sz w:val="20"/>
                <w:szCs w:val="20"/>
              </w:rPr>
              <w:t>21.4%</w:t>
            </w:r>
          </w:p>
        </w:tc>
        <w:tc>
          <w:tcPr>
            <w:tcW w:w="872" w:type="dxa"/>
            <w:tcBorders>
              <w:bottom w:val="single" w:sz="4" w:space="0" w:color="auto"/>
            </w:tcBorders>
            <w:hideMark/>
          </w:tcPr>
          <w:p w14:paraId="1BD1CB50" w14:textId="77777777" w:rsidR="00694F02" w:rsidRPr="00FB774E" w:rsidRDefault="00694F02" w:rsidP="00694F02">
            <w:pPr>
              <w:jc w:val="center"/>
              <w:rPr>
                <w:sz w:val="20"/>
                <w:szCs w:val="20"/>
              </w:rPr>
            </w:pPr>
            <w:r w:rsidRPr="00FB774E">
              <w:rPr>
                <w:sz w:val="20"/>
                <w:szCs w:val="20"/>
              </w:rPr>
              <w:t>-3.4%</w:t>
            </w:r>
          </w:p>
        </w:tc>
        <w:tc>
          <w:tcPr>
            <w:tcW w:w="733" w:type="dxa"/>
            <w:tcBorders>
              <w:bottom w:val="single" w:sz="4" w:space="0" w:color="auto"/>
            </w:tcBorders>
            <w:hideMark/>
          </w:tcPr>
          <w:p w14:paraId="5A718C89" w14:textId="77777777" w:rsidR="00694F02" w:rsidRPr="00FB774E" w:rsidRDefault="00694F02" w:rsidP="00694F02">
            <w:pPr>
              <w:jc w:val="center"/>
              <w:rPr>
                <w:sz w:val="20"/>
                <w:szCs w:val="20"/>
              </w:rPr>
            </w:pPr>
            <w:r w:rsidRPr="00FB774E">
              <w:rPr>
                <w:sz w:val="20"/>
                <w:szCs w:val="20"/>
              </w:rPr>
              <w:t>16.1%</w:t>
            </w:r>
          </w:p>
        </w:tc>
        <w:tc>
          <w:tcPr>
            <w:tcW w:w="733" w:type="dxa"/>
            <w:tcBorders>
              <w:bottom w:val="single" w:sz="4" w:space="0" w:color="auto"/>
            </w:tcBorders>
            <w:hideMark/>
          </w:tcPr>
          <w:p w14:paraId="512940C1" w14:textId="77777777" w:rsidR="00694F02" w:rsidRPr="00FB774E" w:rsidRDefault="00694F02" w:rsidP="00694F02">
            <w:pPr>
              <w:jc w:val="center"/>
              <w:rPr>
                <w:sz w:val="20"/>
                <w:szCs w:val="20"/>
              </w:rPr>
            </w:pPr>
            <w:r w:rsidRPr="00FB774E">
              <w:rPr>
                <w:sz w:val="20"/>
                <w:szCs w:val="20"/>
              </w:rPr>
              <w:t>20.5%</w:t>
            </w:r>
          </w:p>
        </w:tc>
        <w:tc>
          <w:tcPr>
            <w:tcW w:w="872" w:type="dxa"/>
            <w:tcBorders>
              <w:bottom w:val="single" w:sz="4" w:space="0" w:color="auto"/>
            </w:tcBorders>
            <w:hideMark/>
          </w:tcPr>
          <w:p w14:paraId="36A615EA" w14:textId="77777777" w:rsidR="00694F02" w:rsidRPr="00FB774E" w:rsidRDefault="00694F02" w:rsidP="00694F02">
            <w:pPr>
              <w:jc w:val="center"/>
              <w:rPr>
                <w:sz w:val="20"/>
                <w:szCs w:val="20"/>
              </w:rPr>
            </w:pPr>
            <w:r w:rsidRPr="00FB774E">
              <w:rPr>
                <w:sz w:val="20"/>
                <w:szCs w:val="20"/>
              </w:rPr>
              <w:t>4.4%</w:t>
            </w:r>
          </w:p>
        </w:tc>
        <w:tc>
          <w:tcPr>
            <w:tcW w:w="3378" w:type="dxa"/>
            <w:tcBorders>
              <w:bottom w:val="single" w:sz="4" w:space="0" w:color="auto"/>
            </w:tcBorders>
            <w:hideMark/>
          </w:tcPr>
          <w:p w14:paraId="1CA377C5" w14:textId="77777777" w:rsidR="00694F02" w:rsidRPr="00FB774E" w:rsidRDefault="00694F02" w:rsidP="00694F02">
            <w:pPr>
              <w:jc w:val="center"/>
              <w:rPr>
                <w:sz w:val="20"/>
                <w:szCs w:val="20"/>
              </w:rPr>
            </w:pPr>
            <w:r w:rsidRPr="00FB774E">
              <w:rPr>
                <w:sz w:val="20"/>
                <w:szCs w:val="20"/>
              </w:rPr>
              <w:t>-7.8% (-13.5% to -2.2%)</w:t>
            </w:r>
          </w:p>
        </w:tc>
      </w:tr>
      <w:tr w:rsidR="00694F02" w:rsidRPr="00FB774E" w14:paraId="136FD70C" w14:textId="77777777" w:rsidTr="00694F02">
        <w:trPr>
          <w:trHeight w:hRule="exact" w:val="3488"/>
        </w:trPr>
        <w:tc>
          <w:tcPr>
            <w:tcW w:w="9810" w:type="dxa"/>
            <w:gridSpan w:val="8"/>
            <w:tcBorders>
              <w:top w:val="single" w:sz="4" w:space="0" w:color="auto"/>
              <w:bottom w:val="single" w:sz="4" w:space="0" w:color="auto"/>
            </w:tcBorders>
          </w:tcPr>
          <w:p w14:paraId="32ACB48E" w14:textId="77777777" w:rsidR="00694F02" w:rsidRDefault="00694F02" w:rsidP="00694F02">
            <w:pPr>
              <w:rPr>
                <w:sz w:val="20"/>
                <w:szCs w:val="20"/>
              </w:rPr>
            </w:pPr>
            <w:r>
              <w:rPr>
                <w:sz w:val="20"/>
                <w:szCs w:val="20"/>
              </w:rPr>
              <w:t>Abbreviations: SIRS, systemic inflammatory response syndrome; RR, respiratory rate</w:t>
            </w:r>
          </w:p>
          <w:p w14:paraId="26978880" w14:textId="77777777" w:rsidR="00694F02" w:rsidRDefault="00694F02" w:rsidP="00694F02">
            <w:pPr>
              <w:rPr>
                <w:color w:val="000000"/>
                <w:sz w:val="22"/>
                <w:szCs w:val="22"/>
              </w:rPr>
            </w:pPr>
            <w:r w:rsidRPr="00356346">
              <w:rPr>
                <w:b/>
                <w:sz w:val="20"/>
                <w:szCs w:val="20"/>
                <w:vertAlign w:val="superscript"/>
              </w:rPr>
              <w:t>†</w:t>
            </w:r>
            <w:r>
              <w:rPr>
                <w:b/>
                <w:sz w:val="20"/>
                <w:szCs w:val="20"/>
              </w:rPr>
              <w:t xml:space="preserve"> </w:t>
            </w:r>
            <w:r w:rsidRPr="004A341E">
              <w:rPr>
                <w:sz w:val="20"/>
                <w:szCs w:val="20"/>
              </w:rPr>
              <w:t xml:space="preserve">To examine changes in the incidence of tachypnea-specific SIRS and overall SIRS before and after our intervention we used a difference-in-differences approach. This approach compares the change in incidence over time in the intervention unit to the change in incidence in the two control units combined. Therefore, logistic regression models included unit (intervention versus control), time-period, and the interaction between them, which is the difference-in-differences term. From these models we </w:t>
            </w:r>
            <w:r>
              <w:rPr>
                <w:sz w:val="20"/>
                <w:szCs w:val="20"/>
              </w:rPr>
              <w:t>computed marginal effects to estimate SIRS incidence for each time period for each group. We estimated contrasts for differences for each group and the difference-in-differences and robust standard errors using the delta method. Analyses at the vital sign set and hospital day level accounted for clustering by hospitalization. Analyses at the hospitalization level accounted for clustering by patient.</w:t>
            </w:r>
          </w:p>
          <w:p w14:paraId="1E5C52F8" w14:textId="77777777" w:rsidR="00694F02" w:rsidRDefault="00694F02" w:rsidP="00694F02">
            <w:pPr>
              <w:rPr>
                <w:b/>
                <w:sz w:val="20"/>
                <w:szCs w:val="20"/>
              </w:rPr>
            </w:pPr>
            <w:r w:rsidRPr="00BB26B2">
              <w:rPr>
                <w:sz w:val="20"/>
                <w:szCs w:val="20"/>
              </w:rPr>
              <w:t>* SIRS incidence</w:t>
            </w:r>
            <w:r>
              <w:rPr>
                <w:sz w:val="20"/>
                <w:szCs w:val="20"/>
              </w:rPr>
              <w:t xml:space="preserve"> was</w:t>
            </w:r>
            <w:r w:rsidRPr="00BB26B2">
              <w:rPr>
                <w:sz w:val="20"/>
                <w:szCs w:val="20"/>
              </w:rPr>
              <w:t xml:space="preserve"> defined as the presence of at least two of four possible criteria simultaneously using time-stamped vital signs and laboratory data from the EHR: temperature &gt;38°C or &lt;36°C, pulse &gt;90 beats/minute, respiratory rate &gt;20 breaths/minute, or a white blood cell count &gt;12,000/mm3 or &lt;4,000/mm. We used last observation carried forward for missing values, which occurred most frequently for WBC count since this is typically obtained once daily, whereas vital signs are typically measured every 4-6 hours.</w:t>
            </w:r>
          </w:p>
          <w:p w14:paraId="56E7BDF9" w14:textId="77777777" w:rsidR="00694F02" w:rsidRPr="00FB774E" w:rsidRDefault="00694F02" w:rsidP="00694F02">
            <w:pPr>
              <w:rPr>
                <w:sz w:val="20"/>
                <w:szCs w:val="20"/>
              </w:rPr>
            </w:pPr>
            <w:r>
              <w:rPr>
                <w:sz w:val="20"/>
                <w:szCs w:val="20"/>
              </w:rPr>
              <w:t>** Defined as having exactly 2 SIRS criteria, one of which was a respiratory rate&gt;20.</w:t>
            </w:r>
          </w:p>
        </w:tc>
      </w:tr>
    </w:tbl>
    <w:p w14:paraId="5378639A" w14:textId="77777777" w:rsidR="004C3CB5" w:rsidRPr="00CE628F" w:rsidRDefault="004C3CB5" w:rsidP="004C3CB5">
      <w:pPr>
        <w:rPr>
          <w:b/>
        </w:rPr>
      </w:pPr>
    </w:p>
    <w:p w14:paraId="4C91E934" w14:textId="77777777" w:rsidR="004C3CB5" w:rsidRPr="00F31A10" w:rsidRDefault="004C3CB5" w:rsidP="004C3CB5"/>
    <w:p w14:paraId="14AC5D10" w14:textId="77777777" w:rsidR="004C3CB5" w:rsidRPr="00F31A10" w:rsidRDefault="004C3CB5" w:rsidP="004C3CB5"/>
    <w:p w14:paraId="337AFB3E" w14:textId="77777777" w:rsidR="004C3CB5" w:rsidRPr="00F31A10" w:rsidRDefault="004C3CB5" w:rsidP="004C3CB5"/>
    <w:p w14:paraId="1005377E" w14:textId="77777777" w:rsidR="004C3CB5" w:rsidRPr="00F31A10" w:rsidRDefault="004C3CB5" w:rsidP="004C3CB5"/>
    <w:p w14:paraId="332E9891" w14:textId="77777777" w:rsidR="004C3CB5" w:rsidRPr="00F31A10" w:rsidRDefault="004C3CB5" w:rsidP="004C3CB5"/>
    <w:p w14:paraId="1D9FCA92" w14:textId="77777777" w:rsidR="004C3CB5" w:rsidRPr="00F31A10" w:rsidRDefault="004C3CB5" w:rsidP="004C3CB5"/>
    <w:p w14:paraId="162AF8FE" w14:textId="77777777" w:rsidR="004C3CB5" w:rsidRDefault="004C3CB5" w:rsidP="004C3CB5"/>
    <w:p w14:paraId="099ED35C" w14:textId="77777777" w:rsidR="004C3CB5" w:rsidRPr="00F31A10" w:rsidRDefault="004C3CB5" w:rsidP="004C3CB5"/>
    <w:p w14:paraId="2D1F34E8" w14:textId="78130823" w:rsidR="004C3CB5" w:rsidRDefault="004C3CB5" w:rsidP="004C3CB5"/>
    <w:p w14:paraId="0D2C17B6" w14:textId="6F96514B" w:rsidR="00DA4368" w:rsidRDefault="00DA4368" w:rsidP="004C3CB5"/>
    <w:p w14:paraId="74B9A294" w14:textId="109EFD2E" w:rsidR="00DA4368" w:rsidRDefault="00DA4368" w:rsidP="004C3CB5"/>
    <w:p w14:paraId="3E639977" w14:textId="0E033636" w:rsidR="00DA4368" w:rsidRDefault="00DA4368" w:rsidP="004C3CB5"/>
    <w:p w14:paraId="2C437023" w14:textId="3231C33C" w:rsidR="00DA4368" w:rsidRDefault="00DA4368" w:rsidP="004C3CB5"/>
    <w:p w14:paraId="3A1BAA71" w14:textId="52667C21" w:rsidR="00DA4368" w:rsidRDefault="00DA4368" w:rsidP="004C3CB5"/>
    <w:p w14:paraId="40B4D7FA" w14:textId="74CE716D" w:rsidR="00DA4368" w:rsidRDefault="00DA4368" w:rsidP="004C3CB5"/>
    <w:p w14:paraId="2EE25A1C" w14:textId="3CA7B339" w:rsidR="00DA4368" w:rsidRDefault="00DA4368" w:rsidP="004C3CB5"/>
    <w:p w14:paraId="08935D63" w14:textId="187263FA" w:rsidR="00DA4368" w:rsidRDefault="00DA4368" w:rsidP="004C3CB5"/>
    <w:p w14:paraId="77722C75" w14:textId="72207F02" w:rsidR="00DA4368" w:rsidRDefault="00DA4368" w:rsidP="004C3CB5"/>
    <w:p w14:paraId="63B56F54" w14:textId="427CD03E" w:rsidR="00DA4368" w:rsidRDefault="00DA4368" w:rsidP="004C3CB5"/>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520"/>
        <w:gridCol w:w="2520"/>
      </w:tblGrid>
      <w:tr w:rsidR="00694F02" w:rsidRPr="0020236F" w14:paraId="65520844" w14:textId="77777777" w:rsidTr="00CB4DD4">
        <w:tc>
          <w:tcPr>
            <w:tcW w:w="10255" w:type="dxa"/>
            <w:gridSpan w:val="3"/>
            <w:tcBorders>
              <w:top w:val="single" w:sz="12" w:space="0" w:color="auto"/>
            </w:tcBorders>
          </w:tcPr>
          <w:p w14:paraId="1D6275E8" w14:textId="377AFC0E" w:rsidR="00694F02" w:rsidRPr="00526E10" w:rsidRDefault="00B32749" w:rsidP="00CB4DD4">
            <w:pPr>
              <w:rPr>
                <w:b/>
              </w:rPr>
            </w:pPr>
            <w:r>
              <w:rPr>
                <w:b/>
              </w:rPr>
              <w:lastRenderedPageBreak/>
              <w:t>Appendix</w:t>
            </w:r>
            <w:bookmarkStart w:id="0" w:name="_GoBack"/>
            <w:bookmarkEnd w:id="0"/>
            <w:r w:rsidR="00694F02">
              <w:rPr>
                <w:b/>
              </w:rPr>
              <w:t xml:space="preserve"> Table S2. Study Flow Table for EHR Cohort</w:t>
            </w:r>
          </w:p>
        </w:tc>
      </w:tr>
      <w:tr w:rsidR="00694F02" w:rsidRPr="0020236F" w14:paraId="58A49889" w14:textId="77777777" w:rsidTr="00CB4DD4">
        <w:tc>
          <w:tcPr>
            <w:tcW w:w="5215" w:type="dxa"/>
            <w:tcBorders>
              <w:top w:val="single" w:sz="4" w:space="0" w:color="auto"/>
            </w:tcBorders>
          </w:tcPr>
          <w:p w14:paraId="17140161" w14:textId="77777777" w:rsidR="00694F02" w:rsidRPr="0020236F" w:rsidRDefault="00694F02" w:rsidP="00CB4DD4">
            <w:pPr>
              <w:rPr>
                <w:b/>
              </w:rPr>
            </w:pPr>
            <w:r w:rsidRPr="0020236F">
              <w:rPr>
                <w:b/>
              </w:rPr>
              <w:t>Exclusion Criteria</w:t>
            </w:r>
          </w:p>
        </w:tc>
        <w:tc>
          <w:tcPr>
            <w:tcW w:w="2520" w:type="dxa"/>
            <w:tcBorders>
              <w:top w:val="single" w:sz="4" w:space="0" w:color="auto"/>
            </w:tcBorders>
          </w:tcPr>
          <w:p w14:paraId="7585B68F" w14:textId="77777777" w:rsidR="00694F02" w:rsidRPr="0020236F" w:rsidRDefault="00694F02" w:rsidP="00CB4DD4">
            <w:pPr>
              <w:rPr>
                <w:b/>
              </w:rPr>
            </w:pPr>
            <w:r w:rsidRPr="0020236F">
              <w:rPr>
                <w:b/>
              </w:rPr>
              <w:t>Excluded RRs, n (%)</w:t>
            </w:r>
          </w:p>
        </w:tc>
        <w:tc>
          <w:tcPr>
            <w:tcW w:w="2520" w:type="dxa"/>
            <w:tcBorders>
              <w:top w:val="single" w:sz="4" w:space="0" w:color="auto"/>
            </w:tcBorders>
          </w:tcPr>
          <w:p w14:paraId="25B9815D" w14:textId="77777777" w:rsidR="00694F02" w:rsidRPr="0020236F" w:rsidRDefault="00694F02" w:rsidP="00CB4DD4">
            <w:pPr>
              <w:rPr>
                <w:b/>
              </w:rPr>
            </w:pPr>
            <w:r w:rsidRPr="0020236F">
              <w:rPr>
                <w:b/>
              </w:rPr>
              <w:t>Included RRs, n (%)</w:t>
            </w:r>
          </w:p>
        </w:tc>
      </w:tr>
      <w:tr w:rsidR="00694F02" w:rsidRPr="0020236F" w14:paraId="03AC8DF5" w14:textId="77777777" w:rsidTr="00CB4DD4">
        <w:trPr>
          <w:trHeight w:val="215"/>
        </w:trPr>
        <w:tc>
          <w:tcPr>
            <w:tcW w:w="5215" w:type="dxa"/>
          </w:tcPr>
          <w:p w14:paraId="3D7CB21C" w14:textId="77777777" w:rsidR="00694F02" w:rsidRPr="0020236F" w:rsidRDefault="00694F02" w:rsidP="00CB4DD4">
            <w:r>
              <w:t>-</w:t>
            </w:r>
          </w:p>
        </w:tc>
        <w:tc>
          <w:tcPr>
            <w:tcW w:w="2520" w:type="dxa"/>
          </w:tcPr>
          <w:p w14:paraId="73C9BD0D" w14:textId="77777777" w:rsidR="00694F02" w:rsidRPr="0020236F" w:rsidRDefault="00694F02" w:rsidP="00CB4DD4">
            <w:r>
              <w:t>-</w:t>
            </w:r>
          </w:p>
        </w:tc>
        <w:tc>
          <w:tcPr>
            <w:tcW w:w="2520" w:type="dxa"/>
          </w:tcPr>
          <w:p w14:paraId="1D66969C" w14:textId="77777777" w:rsidR="00694F02" w:rsidRPr="0020236F" w:rsidRDefault="00694F02" w:rsidP="00CB4DD4">
            <w:r>
              <w:t>400,085</w:t>
            </w:r>
          </w:p>
        </w:tc>
      </w:tr>
      <w:tr w:rsidR="00694F02" w:rsidRPr="0020236F" w14:paraId="0395CD10" w14:textId="77777777" w:rsidTr="00CB4DD4">
        <w:tc>
          <w:tcPr>
            <w:tcW w:w="5215" w:type="dxa"/>
          </w:tcPr>
          <w:p w14:paraId="0DCE94B9" w14:textId="77777777" w:rsidR="00694F02" w:rsidRPr="0020236F" w:rsidRDefault="00694F02" w:rsidP="00CB4DD4">
            <w:r>
              <w:t>Recorded</w:t>
            </w:r>
            <w:r w:rsidRPr="0020236F">
              <w:t xml:space="preserve"> in </w:t>
            </w:r>
            <w:r>
              <w:t>the emergency department</w:t>
            </w:r>
          </w:p>
        </w:tc>
        <w:tc>
          <w:tcPr>
            <w:tcW w:w="2520" w:type="dxa"/>
          </w:tcPr>
          <w:p w14:paraId="492C30D5" w14:textId="77777777" w:rsidR="00694F02" w:rsidRPr="0020236F" w:rsidRDefault="00694F02" w:rsidP="00CB4DD4">
            <w:r>
              <w:t xml:space="preserve">  46,650 (11.7%)</w:t>
            </w:r>
          </w:p>
        </w:tc>
        <w:tc>
          <w:tcPr>
            <w:tcW w:w="2520" w:type="dxa"/>
          </w:tcPr>
          <w:p w14:paraId="3F5A3AFD" w14:textId="77777777" w:rsidR="00694F02" w:rsidRPr="0020236F" w:rsidRDefault="00694F02" w:rsidP="00CB4DD4">
            <w:r>
              <w:t>353,435</w:t>
            </w:r>
          </w:p>
        </w:tc>
      </w:tr>
      <w:tr w:rsidR="00694F02" w:rsidRPr="0020236F" w14:paraId="6DC679A4" w14:textId="77777777" w:rsidTr="00CB4DD4">
        <w:tc>
          <w:tcPr>
            <w:tcW w:w="5215" w:type="dxa"/>
          </w:tcPr>
          <w:p w14:paraId="24E8876D" w14:textId="77777777" w:rsidR="00694F02" w:rsidRPr="0020236F" w:rsidRDefault="00694F02" w:rsidP="00CB4DD4">
            <w:r>
              <w:t>Hospital admission date was before 3/1/17</w:t>
            </w:r>
          </w:p>
        </w:tc>
        <w:tc>
          <w:tcPr>
            <w:tcW w:w="2520" w:type="dxa"/>
          </w:tcPr>
          <w:p w14:paraId="07A02550" w14:textId="77777777" w:rsidR="00694F02" w:rsidRPr="0020236F" w:rsidRDefault="00694F02" w:rsidP="00CB4DD4">
            <w:r>
              <w:t xml:space="preserve">    7,528 (2.1%)</w:t>
            </w:r>
          </w:p>
        </w:tc>
        <w:tc>
          <w:tcPr>
            <w:tcW w:w="2520" w:type="dxa"/>
          </w:tcPr>
          <w:p w14:paraId="25C410D5" w14:textId="77777777" w:rsidR="00694F02" w:rsidRPr="0020236F" w:rsidRDefault="00694F02" w:rsidP="00CB4DD4">
            <w:r>
              <w:t>345,907</w:t>
            </w:r>
          </w:p>
        </w:tc>
      </w:tr>
      <w:tr w:rsidR="00694F02" w:rsidRPr="0020236F" w14:paraId="7DD7C546" w14:textId="77777777" w:rsidTr="00CB4DD4">
        <w:tc>
          <w:tcPr>
            <w:tcW w:w="5215" w:type="dxa"/>
          </w:tcPr>
          <w:p w14:paraId="7235869B" w14:textId="77777777" w:rsidR="00694F02" w:rsidRPr="0020236F" w:rsidRDefault="00694F02" w:rsidP="00CB4DD4">
            <w:r>
              <w:t>Patient less than 18 years of age</w:t>
            </w:r>
          </w:p>
        </w:tc>
        <w:tc>
          <w:tcPr>
            <w:tcW w:w="2520" w:type="dxa"/>
          </w:tcPr>
          <w:p w14:paraId="0A79D63B" w14:textId="77777777" w:rsidR="00694F02" w:rsidRPr="0020236F" w:rsidRDefault="00694F02" w:rsidP="00CB4DD4">
            <w:r>
              <w:t xml:space="preserve">         46 (0.0%)</w:t>
            </w:r>
          </w:p>
        </w:tc>
        <w:tc>
          <w:tcPr>
            <w:tcW w:w="2520" w:type="dxa"/>
          </w:tcPr>
          <w:p w14:paraId="7F1C5AE3" w14:textId="77777777" w:rsidR="00694F02" w:rsidRPr="0020236F" w:rsidRDefault="00694F02" w:rsidP="00CB4DD4">
            <w:r>
              <w:t>345,861</w:t>
            </w:r>
          </w:p>
        </w:tc>
      </w:tr>
      <w:tr w:rsidR="00694F02" w:rsidRPr="0020236F" w14:paraId="5C32548D" w14:textId="77777777" w:rsidTr="00CB4DD4">
        <w:tc>
          <w:tcPr>
            <w:tcW w:w="5215" w:type="dxa"/>
          </w:tcPr>
          <w:p w14:paraId="59B816B9" w14:textId="77777777" w:rsidR="00694F02" w:rsidRPr="0020236F" w:rsidRDefault="00694F02" w:rsidP="00CB4DD4">
            <w:r>
              <w:t>Patient not admitted to intervention or control units</w:t>
            </w:r>
          </w:p>
        </w:tc>
        <w:tc>
          <w:tcPr>
            <w:tcW w:w="2520" w:type="dxa"/>
          </w:tcPr>
          <w:p w14:paraId="064CA0A3" w14:textId="77777777" w:rsidR="00694F02" w:rsidRPr="0020236F" w:rsidRDefault="00694F02" w:rsidP="00CB4DD4">
            <w:r>
              <w:t>120,055 (34.7%)</w:t>
            </w:r>
          </w:p>
        </w:tc>
        <w:tc>
          <w:tcPr>
            <w:tcW w:w="2520" w:type="dxa"/>
          </w:tcPr>
          <w:p w14:paraId="44BB3022" w14:textId="77777777" w:rsidR="00694F02" w:rsidRPr="0020236F" w:rsidRDefault="00694F02" w:rsidP="00CB4DD4">
            <w:r>
              <w:t>225,806</w:t>
            </w:r>
          </w:p>
        </w:tc>
      </w:tr>
      <w:tr w:rsidR="00694F02" w:rsidRPr="0020236F" w14:paraId="6B3F128B" w14:textId="77777777" w:rsidTr="00CB4DD4">
        <w:tc>
          <w:tcPr>
            <w:tcW w:w="5215" w:type="dxa"/>
          </w:tcPr>
          <w:p w14:paraId="11E29B03" w14:textId="77777777" w:rsidR="00694F02" w:rsidRPr="0020236F" w:rsidRDefault="00694F02" w:rsidP="00CB4DD4">
            <w:r>
              <w:t>Patient admitted during teaching phase</w:t>
            </w:r>
          </w:p>
        </w:tc>
        <w:tc>
          <w:tcPr>
            <w:tcW w:w="2520" w:type="dxa"/>
          </w:tcPr>
          <w:p w14:paraId="3D618A3F" w14:textId="77777777" w:rsidR="00694F02" w:rsidRPr="0020236F" w:rsidRDefault="00694F02" w:rsidP="00CB4DD4">
            <w:r>
              <w:t xml:space="preserve">    7,533 (3.3%)</w:t>
            </w:r>
          </w:p>
        </w:tc>
        <w:tc>
          <w:tcPr>
            <w:tcW w:w="2520" w:type="dxa"/>
          </w:tcPr>
          <w:p w14:paraId="620169A7" w14:textId="77777777" w:rsidR="00694F02" w:rsidRPr="0020236F" w:rsidRDefault="00694F02" w:rsidP="00CB4DD4">
            <w:r>
              <w:t>218,273</w:t>
            </w:r>
          </w:p>
        </w:tc>
      </w:tr>
      <w:tr w:rsidR="00694F02" w:rsidRPr="0020236F" w14:paraId="2C945DE8" w14:textId="77777777" w:rsidTr="00CB4DD4">
        <w:tc>
          <w:tcPr>
            <w:tcW w:w="5215" w:type="dxa"/>
            <w:tcBorders>
              <w:bottom w:val="single" w:sz="4" w:space="0" w:color="auto"/>
            </w:tcBorders>
          </w:tcPr>
          <w:p w14:paraId="6DB74765" w14:textId="77777777" w:rsidR="00694F02" w:rsidRPr="0020236F" w:rsidRDefault="00694F02" w:rsidP="00CB4DD4">
            <w:r>
              <w:t>RR obtained off of the intervention or control units</w:t>
            </w:r>
          </w:p>
        </w:tc>
        <w:tc>
          <w:tcPr>
            <w:tcW w:w="2520" w:type="dxa"/>
            <w:tcBorders>
              <w:bottom w:val="single" w:sz="4" w:space="0" w:color="auto"/>
            </w:tcBorders>
          </w:tcPr>
          <w:p w14:paraId="2B3AD2EC" w14:textId="77777777" w:rsidR="00694F02" w:rsidRPr="0020236F" w:rsidRDefault="00694F02" w:rsidP="00CB4DD4">
            <w:r>
              <w:t xml:space="preserve">  74,826 (34.3%)</w:t>
            </w:r>
          </w:p>
        </w:tc>
        <w:tc>
          <w:tcPr>
            <w:tcW w:w="2520" w:type="dxa"/>
            <w:tcBorders>
              <w:bottom w:val="single" w:sz="4" w:space="0" w:color="auto"/>
            </w:tcBorders>
          </w:tcPr>
          <w:p w14:paraId="0ABA6A80" w14:textId="77777777" w:rsidR="00694F02" w:rsidRPr="002D4C51" w:rsidRDefault="00694F02" w:rsidP="00CB4DD4">
            <w:pPr>
              <w:rPr>
                <w:vertAlign w:val="superscript"/>
              </w:rPr>
            </w:pPr>
            <w:r>
              <w:t>143,447</w:t>
            </w:r>
            <w:r w:rsidRPr="00356346">
              <w:rPr>
                <w:b/>
                <w:sz w:val="20"/>
                <w:szCs w:val="20"/>
                <w:vertAlign w:val="superscript"/>
              </w:rPr>
              <w:t>†</w:t>
            </w:r>
          </w:p>
        </w:tc>
      </w:tr>
      <w:tr w:rsidR="00694F02" w:rsidRPr="0020236F" w14:paraId="37171F0F" w14:textId="77777777" w:rsidTr="00CB4DD4">
        <w:tc>
          <w:tcPr>
            <w:tcW w:w="10255" w:type="dxa"/>
            <w:gridSpan w:val="3"/>
            <w:tcBorders>
              <w:top w:val="single" w:sz="4" w:space="0" w:color="auto"/>
              <w:bottom w:val="single" w:sz="4" w:space="0" w:color="auto"/>
            </w:tcBorders>
          </w:tcPr>
          <w:p w14:paraId="52E369F7" w14:textId="77777777" w:rsidR="00694F02" w:rsidRDefault="00694F02" w:rsidP="00CB4DD4">
            <w:r>
              <w:t>Abbreviations: RR, respiratory rates</w:t>
            </w:r>
          </w:p>
          <w:p w14:paraId="79651D04" w14:textId="77777777" w:rsidR="00694F02" w:rsidRPr="00BB26B2" w:rsidRDefault="00694F02" w:rsidP="00CB4DD4">
            <w:pPr>
              <w:rPr>
                <w:sz w:val="20"/>
                <w:szCs w:val="20"/>
              </w:rPr>
            </w:pPr>
            <w:r w:rsidRPr="004A341E">
              <w:rPr>
                <w:b/>
                <w:sz w:val="20"/>
                <w:szCs w:val="20"/>
                <w:vertAlign w:val="superscript"/>
              </w:rPr>
              <w:t>†</w:t>
            </w:r>
            <w:r w:rsidRPr="004A341E">
              <w:rPr>
                <w:sz w:val="20"/>
                <w:szCs w:val="20"/>
              </w:rPr>
              <w:t xml:space="preserve"> </w:t>
            </w:r>
            <w:r w:rsidRPr="00BB26B2">
              <w:rPr>
                <w:color w:val="333333"/>
                <w:sz w:val="20"/>
                <w:szCs w:val="20"/>
              </w:rPr>
              <w:t>The intervention unit included 39,445 recorded RRs from 1,577 unique hospitalizations and the control units included 104,002 recorded RRs from 5,523 different hospitalizations. Among patients hospitalized on the intervention unit, the median age was 52 (IQR 40-61), 64% were male, 18% non-Hispanic White, 46% Hispanic white, and 32% Black. For patients hospitalized on the control unit, the median age was 54 (IQR 42-63), 56% male, 20% non-Hispanic White, 39% Hispanic white, and 37% Black. The median length of stay (LOS) was similar for both groups (intervention unit median LOS = 3.4 day, IQR 2.1-5.6; control units median LOS = 2.8 days, IQR 1.8-4.9). Lastly, most patients from both groups were discharged home (intervention 92.3%, control 91.2%), with low inpatient mortality (intervention, 0.76%; control units, 0.67%).</w:t>
            </w:r>
          </w:p>
        </w:tc>
      </w:tr>
    </w:tbl>
    <w:p w14:paraId="494DB57C" w14:textId="45384384" w:rsidR="00DA4368" w:rsidRDefault="00DA4368" w:rsidP="004C3CB5"/>
    <w:p w14:paraId="1A830742" w14:textId="2FBA1C76" w:rsidR="00DA4368" w:rsidRDefault="00DA4368" w:rsidP="004C3CB5"/>
    <w:p w14:paraId="11E29829" w14:textId="3CF426B3" w:rsidR="00DA4368" w:rsidRDefault="00DA4368" w:rsidP="004C3CB5"/>
    <w:p w14:paraId="7D7D77A4" w14:textId="5163CDE1" w:rsidR="00DA4368" w:rsidRDefault="00DA4368" w:rsidP="004C3CB5"/>
    <w:p w14:paraId="7CDE21F4" w14:textId="70C97916" w:rsidR="00DA4368" w:rsidRDefault="00DA4368" w:rsidP="004C3CB5"/>
    <w:p w14:paraId="7C372D1C" w14:textId="6BCA8F91" w:rsidR="00DA4368" w:rsidRDefault="00DA4368" w:rsidP="004C3CB5"/>
    <w:p w14:paraId="54F2AC61" w14:textId="7CCBE511" w:rsidR="00DA4368" w:rsidRDefault="00DA4368" w:rsidP="004C3CB5"/>
    <w:p w14:paraId="351FC998" w14:textId="1F858EFB" w:rsidR="00DA4368" w:rsidRDefault="00DA4368" w:rsidP="004C3CB5"/>
    <w:p w14:paraId="61CB06F4" w14:textId="44D69B54" w:rsidR="00DA4368" w:rsidRDefault="00DA4368" w:rsidP="004C3CB5"/>
    <w:p w14:paraId="7811B370" w14:textId="5A1DCC4B" w:rsidR="00DA4368" w:rsidRDefault="00DA4368" w:rsidP="004C3CB5"/>
    <w:p w14:paraId="443335C8" w14:textId="7BA32001" w:rsidR="00DA4368" w:rsidRDefault="00DA4368" w:rsidP="004C3CB5"/>
    <w:p w14:paraId="3C0FCB36" w14:textId="44F3B268" w:rsidR="00DA4368" w:rsidRDefault="00DA4368" w:rsidP="004C3CB5"/>
    <w:p w14:paraId="541006D0" w14:textId="05E23AE6" w:rsidR="00DA4368" w:rsidRDefault="00DA4368" w:rsidP="004C3CB5"/>
    <w:p w14:paraId="52FA3B28" w14:textId="64BC50CF" w:rsidR="00DA4368" w:rsidRDefault="00DA4368" w:rsidP="004C3CB5"/>
    <w:p w14:paraId="277508E4" w14:textId="77777777" w:rsidR="00DA4368" w:rsidRDefault="00DA4368" w:rsidP="004C3CB5"/>
    <w:p w14:paraId="213D82DF" w14:textId="77777777" w:rsidR="00176CAE" w:rsidRDefault="00B32749"/>
    <w:sectPr w:rsidR="00176CA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21B71" w14:textId="77777777" w:rsidR="00370F08" w:rsidRDefault="00370F08" w:rsidP="000A410E">
      <w:r>
        <w:separator/>
      </w:r>
    </w:p>
  </w:endnote>
  <w:endnote w:type="continuationSeparator" w:id="0">
    <w:p w14:paraId="0D9465A8" w14:textId="77777777" w:rsidR="00370F08" w:rsidRDefault="00370F08" w:rsidP="000A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5692332"/>
      <w:docPartObj>
        <w:docPartGallery w:val="Page Numbers (Bottom of Page)"/>
        <w:docPartUnique/>
      </w:docPartObj>
    </w:sdtPr>
    <w:sdtEndPr>
      <w:rPr>
        <w:rStyle w:val="PageNumber"/>
      </w:rPr>
    </w:sdtEndPr>
    <w:sdtContent>
      <w:p w14:paraId="141BC865" w14:textId="1DEA0113" w:rsidR="000A410E" w:rsidRDefault="000A410E" w:rsidP="003705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64E04" w14:textId="77777777" w:rsidR="000A410E" w:rsidRDefault="000A410E" w:rsidP="000A4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4905913"/>
      <w:docPartObj>
        <w:docPartGallery w:val="Page Numbers (Bottom of Page)"/>
        <w:docPartUnique/>
      </w:docPartObj>
    </w:sdtPr>
    <w:sdtEndPr>
      <w:rPr>
        <w:rStyle w:val="PageNumber"/>
      </w:rPr>
    </w:sdtEndPr>
    <w:sdtContent>
      <w:p w14:paraId="3719BA7B" w14:textId="06DBC465" w:rsidR="000A410E" w:rsidRDefault="000A410E" w:rsidP="003705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2749">
          <w:rPr>
            <w:rStyle w:val="PageNumber"/>
            <w:noProof/>
          </w:rPr>
          <w:t>5</w:t>
        </w:r>
        <w:r>
          <w:rPr>
            <w:rStyle w:val="PageNumber"/>
          </w:rPr>
          <w:fldChar w:fldCharType="end"/>
        </w:r>
      </w:p>
    </w:sdtContent>
  </w:sdt>
  <w:p w14:paraId="49149EB7" w14:textId="77777777" w:rsidR="000A410E" w:rsidRDefault="000A410E" w:rsidP="000A4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B376F" w14:textId="77777777" w:rsidR="00370F08" w:rsidRDefault="00370F08" w:rsidP="000A410E">
      <w:r>
        <w:separator/>
      </w:r>
    </w:p>
  </w:footnote>
  <w:footnote w:type="continuationSeparator" w:id="0">
    <w:p w14:paraId="6D80DA84" w14:textId="77777777" w:rsidR="00370F08" w:rsidRDefault="00370F08" w:rsidP="000A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B5"/>
    <w:rsid w:val="00063E4E"/>
    <w:rsid w:val="000A410E"/>
    <w:rsid w:val="00247B94"/>
    <w:rsid w:val="002B7471"/>
    <w:rsid w:val="002D4C51"/>
    <w:rsid w:val="002E70A2"/>
    <w:rsid w:val="00334722"/>
    <w:rsid w:val="00370F08"/>
    <w:rsid w:val="004A341E"/>
    <w:rsid w:val="004C3CB5"/>
    <w:rsid w:val="004C48D7"/>
    <w:rsid w:val="00524C9C"/>
    <w:rsid w:val="00603D4B"/>
    <w:rsid w:val="00644E0F"/>
    <w:rsid w:val="006657A1"/>
    <w:rsid w:val="00694F02"/>
    <w:rsid w:val="006E22B8"/>
    <w:rsid w:val="007B0E31"/>
    <w:rsid w:val="008773B9"/>
    <w:rsid w:val="00B32749"/>
    <w:rsid w:val="00B9376D"/>
    <w:rsid w:val="00BB26B2"/>
    <w:rsid w:val="00C2641A"/>
    <w:rsid w:val="00D578E1"/>
    <w:rsid w:val="00DA4368"/>
    <w:rsid w:val="00E16A85"/>
    <w:rsid w:val="00F66449"/>
    <w:rsid w:val="00F7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6CB3"/>
  <w15:chartTrackingRefBased/>
  <w15:docId w15:val="{8DE225CB-98BA-46B4-A53D-F609123A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CB5"/>
    <w:pPr>
      <w:spacing w:before="100" w:beforeAutospacing="1" w:after="100" w:afterAutospacing="1"/>
    </w:pPr>
  </w:style>
  <w:style w:type="table" w:styleId="TableGrid">
    <w:name w:val="Table Grid"/>
    <w:basedOn w:val="TableNormal"/>
    <w:uiPriority w:val="59"/>
    <w:rsid w:val="004C3C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03D4B"/>
    <w:pPr>
      <w:spacing w:before="100" w:beforeAutospacing="1" w:after="100" w:afterAutospacing="1"/>
    </w:pPr>
  </w:style>
  <w:style w:type="character" w:customStyle="1" w:styleId="normaltextrun">
    <w:name w:val="normaltextrun"/>
    <w:basedOn w:val="DefaultParagraphFont"/>
    <w:rsid w:val="00603D4B"/>
  </w:style>
  <w:style w:type="character" w:customStyle="1" w:styleId="eop">
    <w:name w:val="eop"/>
    <w:basedOn w:val="DefaultParagraphFont"/>
    <w:rsid w:val="00603D4B"/>
  </w:style>
  <w:style w:type="character" w:customStyle="1" w:styleId="spellingerror">
    <w:name w:val="spellingerror"/>
    <w:basedOn w:val="DefaultParagraphFont"/>
    <w:rsid w:val="00603D4B"/>
  </w:style>
  <w:style w:type="paragraph" w:styleId="Footer">
    <w:name w:val="footer"/>
    <w:basedOn w:val="Normal"/>
    <w:link w:val="FooterChar"/>
    <w:uiPriority w:val="99"/>
    <w:unhideWhenUsed/>
    <w:rsid w:val="000A410E"/>
    <w:pPr>
      <w:tabs>
        <w:tab w:val="center" w:pos="4680"/>
        <w:tab w:val="right" w:pos="9360"/>
      </w:tabs>
    </w:pPr>
  </w:style>
  <w:style w:type="character" w:customStyle="1" w:styleId="FooterChar">
    <w:name w:val="Footer Char"/>
    <w:basedOn w:val="DefaultParagraphFont"/>
    <w:link w:val="Footer"/>
    <w:uiPriority w:val="99"/>
    <w:rsid w:val="000A410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A410E"/>
  </w:style>
  <w:style w:type="character" w:styleId="CommentReference">
    <w:name w:val="annotation reference"/>
    <w:basedOn w:val="DefaultParagraphFont"/>
    <w:uiPriority w:val="99"/>
    <w:semiHidden/>
    <w:unhideWhenUsed/>
    <w:rsid w:val="00644E0F"/>
    <w:rPr>
      <w:sz w:val="16"/>
      <w:szCs w:val="16"/>
    </w:rPr>
  </w:style>
  <w:style w:type="paragraph" w:styleId="CommentText">
    <w:name w:val="annotation text"/>
    <w:basedOn w:val="Normal"/>
    <w:link w:val="CommentTextChar"/>
    <w:uiPriority w:val="99"/>
    <w:unhideWhenUsed/>
    <w:rsid w:val="00644E0F"/>
    <w:rPr>
      <w:sz w:val="20"/>
      <w:szCs w:val="20"/>
    </w:rPr>
  </w:style>
  <w:style w:type="character" w:customStyle="1" w:styleId="CommentTextChar">
    <w:name w:val="Comment Text Char"/>
    <w:basedOn w:val="DefaultParagraphFont"/>
    <w:link w:val="CommentText"/>
    <w:uiPriority w:val="99"/>
    <w:rsid w:val="00644E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4E0F"/>
    <w:rPr>
      <w:b/>
      <w:bCs/>
    </w:rPr>
  </w:style>
  <w:style w:type="character" w:customStyle="1" w:styleId="CommentSubjectChar">
    <w:name w:val="Comment Subject Char"/>
    <w:basedOn w:val="CommentTextChar"/>
    <w:link w:val="CommentSubject"/>
    <w:uiPriority w:val="99"/>
    <w:semiHidden/>
    <w:rsid w:val="00644E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4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0F"/>
    <w:rPr>
      <w:rFonts w:ascii="Segoe UI" w:eastAsia="Times New Roman" w:hAnsi="Segoe UI" w:cs="Segoe UI"/>
      <w:sz w:val="18"/>
      <w:szCs w:val="18"/>
    </w:rPr>
  </w:style>
  <w:style w:type="paragraph" w:styleId="ListParagraph">
    <w:name w:val="List Paragraph"/>
    <w:basedOn w:val="Normal"/>
    <w:uiPriority w:val="34"/>
    <w:qFormat/>
    <w:rsid w:val="004A341E"/>
    <w:pPr>
      <w:ind w:left="720"/>
      <w:contextualSpacing/>
    </w:pPr>
  </w:style>
  <w:style w:type="paragraph" w:styleId="Revision">
    <w:name w:val="Revision"/>
    <w:hidden/>
    <w:uiPriority w:val="99"/>
    <w:semiHidden/>
    <w:rsid w:val="00694F0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0727">
      <w:bodyDiv w:val="1"/>
      <w:marLeft w:val="0"/>
      <w:marRight w:val="0"/>
      <w:marTop w:val="0"/>
      <w:marBottom w:val="0"/>
      <w:divBdr>
        <w:top w:val="none" w:sz="0" w:space="0" w:color="auto"/>
        <w:left w:val="none" w:sz="0" w:space="0" w:color="auto"/>
        <w:bottom w:val="none" w:sz="0" w:space="0" w:color="auto"/>
        <w:right w:val="none" w:sz="0" w:space="0" w:color="auto"/>
      </w:divBdr>
      <w:divsChild>
        <w:div w:id="802501789">
          <w:marLeft w:val="0"/>
          <w:marRight w:val="0"/>
          <w:marTop w:val="0"/>
          <w:marBottom w:val="0"/>
          <w:divBdr>
            <w:top w:val="none" w:sz="0" w:space="0" w:color="auto"/>
            <w:left w:val="none" w:sz="0" w:space="0" w:color="auto"/>
            <w:bottom w:val="none" w:sz="0" w:space="0" w:color="auto"/>
            <w:right w:val="none" w:sz="0" w:space="0" w:color="auto"/>
          </w:divBdr>
          <w:divsChild>
            <w:div w:id="1124156662">
              <w:marLeft w:val="0"/>
              <w:marRight w:val="0"/>
              <w:marTop w:val="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sChild>
                    <w:div w:id="19334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8880">
      <w:bodyDiv w:val="1"/>
      <w:marLeft w:val="0"/>
      <w:marRight w:val="0"/>
      <w:marTop w:val="0"/>
      <w:marBottom w:val="0"/>
      <w:divBdr>
        <w:top w:val="none" w:sz="0" w:space="0" w:color="auto"/>
        <w:left w:val="none" w:sz="0" w:space="0" w:color="auto"/>
        <w:bottom w:val="none" w:sz="0" w:space="0" w:color="auto"/>
        <w:right w:val="none" w:sz="0" w:space="0" w:color="auto"/>
      </w:divBdr>
      <w:divsChild>
        <w:div w:id="25646718">
          <w:marLeft w:val="0"/>
          <w:marRight w:val="0"/>
          <w:marTop w:val="0"/>
          <w:marBottom w:val="0"/>
          <w:divBdr>
            <w:top w:val="none" w:sz="0" w:space="0" w:color="auto"/>
            <w:left w:val="none" w:sz="0" w:space="0" w:color="auto"/>
            <w:bottom w:val="none" w:sz="0" w:space="0" w:color="auto"/>
            <w:right w:val="none" w:sz="0" w:space="0" w:color="auto"/>
          </w:divBdr>
          <w:divsChild>
            <w:div w:id="2143573348">
              <w:marLeft w:val="0"/>
              <w:marRight w:val="0"/>
              <w:marTop w:val="0"/>
              <w:marBottom w:val="0"/>
              <w:divBdr>
                <w:top w:val="none" w:sz="0" w:space="0" w:color="auto"/>
                <w:left w:val="none" w:sz="0" w:space="0" w:color="auto"/>
                <w:bottom w:val="none" w:sz="0" w:space="0" w:color="auto"/>
                <w:right w:val="none" w:sz="0" w:space="0" w:color="auto"/>
              </w:divBdr>
              <w:divsChild>
                <w:div w:id="226192632">
                  <w:marLeft w:val="0"/>
                  <w:marRight w:val="0"/>
                  <w:marTop w:val="0"/>
                  <w:marBottom w:val="0"/>
                  <w:divBdr>
                    <w:top w:val="none" w:sz="0" w:space="0" w:color="auto"/>
                    <w:left w:val="none" w:sz="0" w:space="0" w:color="auto"/>
                    <w:bottom w:val="none" w:sz="0" w:space="0" w:color="auto"/>
                    <w:right w:val="none" w:sz="0" w:space="0" w:color="auto"/>
                  </w:divBdr>
                  <w:divsChild>
                    <w:div w:id="1967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45342">
      <w:bodyDiv w:val="1"/>
      <w:marLeft w:val="0"/>
      <w:marRight w:val="0"/>
      <w:marTop w:val="0"/>
      <w:marBottom w:val="0"/>
      <w:divBdr>
        <w:top w:val="none" w:sz="0" w:space="0" w:color="auto"/>
        <w:left w:val="none" w:sz="0" w:space="0" w:color="auto"/>
        <w:bottom w:val="none" w:sz="0" w:space="0" w:color="auto"/>
        <w:right w:val="none" w:sz="0" w:space="0" w:color="auto"/>
      </w:divBdr>
    </w:div>
    <w:div w:id="1923249935">
      <w:bodyDiv w:val="1"/>
      <w:marLeft w:val="0"/>
      <w:marRight w:val="0"/>
      <w:marTop w:val="0"/>
      <w:marBottom w:val="0"/>
      <w:divBdr>
        <w:top w:val="none" w:sz="0" w:space="0" w:color="auto"/>
        <w:left w:val="none" w:sz="0" w:space="0" w:color="auto"/>
        <w:bottom w:val="none" w:sz="0" w:space="0" w:color="auto"/>
        <w:right w:val="none" w:sz="0" w:space="0" w:color="auto"/>
      </w:divBdr>
      <w:divsChild>
        <w:div w:id="207646969">
          <w:marLeft w:val="0"/>
          <w:marRight w:val="0"/>
          <w:marTop w:val="0"/>
          <w:marBottom w:val="0"/>
          <w:divBdr>
            <w:top w:val="none" w:sz="0" w:space="0" w:color="auto"/>
            <w:left w:val="none" w:sz="0" w:space="0" w:color="auto"/>
            <w:bottom w:val="none" w:sz="0" w:space="0" w:color="auto"/>
            <w:right w:val="none" w:sz="0" w:space="0" w:color="auto"/>
          </w:divBdr>
        </w:div>
        <w:div w:id="824205188">
          <w:marLeft w:val="0"/>
          <w:marRight w:val="0"/>
          <w:marTop w:val="0"/>
          <w:marBottom w:val="0"/>
          <w:divBdr>
            <w:top w:val="none" w:sz="0" w:space="0" w:color="auto"/>
            <w:left w:val="none" w:sz="0" w:space="0" w:color="auto"/>
            <w:bottom w:val="none" w:sz="0" w:space="0" w:color="auto"/>
            <w:right w:val="none" w:sz="0" w:space="0" w:color="auto"/>
          </w:divBdr>
        </w:div>
        <w:div w:id="1700159759">
          <w:marLeft w:val="0"/>
          <w:marRight w:val="0"/>
          <w:marTop w:val="0"/>
          <w:marBottom w:val="0"/>
          <w:divBdr>
            <w:top w:val="none" w:sz="0" w:space="0" w:color="auto"/>
            <w:left w:val="none" w:sz="0" w:space="0" w:color="auto"/>
            <w:bottom w:val="none" w:sz="0" w:space="0" w:color="auto"/>
            <w:right w:val="none" w:sz="0" w:space="0" w:color="auto"/>
          </w:divBdr>
        </w:div>
        <w:div w:id="808741849">
          <w:marLeft w:val="0"/>
          <w:marRight w:val="0"/>
          <w:marTop w:val="0"/>
          <w:marBottom w:val="0"/>
          <w:divBdr>
            <w:top w:val="none" w:sz="0" w:space="0" w:color="auto"/>
            <w:left w:val="none" w:sz="0" w:space="0" w:color="auto"/>
            <w:bottom w:val="none" w:sz="0" w:space="0" w:color="auto"/>
            <w:right w:val="none" w:sz="0" w:space="0" w:color="auto"/>
          </w:divBdr>
        </w:div>
        <w:div w:id="179396146">
          <w:marLeft w:val="0"/>
          <w:marRight w:val="0"/>
          <w:marTop w:val="0"/>
          <w:marBottom w:val="0"/>
          <w:divBdr>
            <w:top w:val="none" w:sz="0" w:space="0" w:color="auto"/>
            <w:left w:val="none" w:sz="0" w:space="0" w:color="auto"/>
            <w:bottom w:val="none" w:sz="0" w:space="0" w:color="auto"/>
            <w:right w:val="none" w:sz="0" w:space="0" w:color="auto"/>
          </w:divBdr>
        </w:div>
        <w:div w:id="1283733393">
          <w:marLeft w:val="0"/>
          <w:marRight w:val="0"/>
          <w:marTop w:val="0"/>
          <w:marBottom w:val="0"/>
          <w:divBdr>
            <w:top w:val="none" w:sz="0" w:space="0" w:color="auto"/>
            <w:left w:val="none" w:sz="0" w:space="0" w:color="auto"/>
            <w:bottom w:val="none" w:sz="0" w:space="0" w:color="auto"/>
            <w:right w:val="none" w:sz="0" w:space="0" w:color="auto"/>
          </w:divBdr>
        </w:div>
        <w:div w:id="146951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Keshvani</dc:creator>
  <cp:keywords/>
  <dc:description/>
  <cp:lastModifiedBy>Susan Hite</cp:lastModifiedBy>
  <cp:revision>3</cp:revision>
  <dcterms:created xsi:type="dcterms:W3CDTF">2019-04-04T01:31:00Z</dcterms:created>
  <dcterms:modified xsi:type="dcterms:W3CDTF">2019-06-06T20:04:00Z</dcterms:modified>
</cp:coreProperties>
</file>