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0619" w14:textId="3E3FAEE6" w:rsidR="0075123C" w:rsidRPr="00CE39CF" w:rsidRDefault="00DB417D" w:rsidP="00BC0CE9">
      <w:pPr>
        <w:pStyle w:val="NoSpacing"/>
        <w:rPr>
          <w:rFonts w:ascii="Arial" w:hAnsi="Arial" w:cs="Arial"/>
          <w:b/>
        </w:rPr>
      </w:pPr>
      <w:r w:rsidRPr="00CE39CF">
        <w:rPr>
          <w:rFonts w:ascii="Arial" w:hAnsi="Arial" w:cs="Arial"/>
          <w:b/>
        </w:rPr>
        <w:t>AN ELECTRONIC ORDER SET FOR ACUTE MYOCARDIAL INFARCTION IS ASSOCIATED WITH BETTER ADHERENCE TO CLINIC</w:t>
      </w:r>
      <w:r w:rsidR="00D92C44" w:rsidRPr="00CE39CF">
        <w:rPr>
          <w:rFonts w:ascii="Arial" w:hAnsi="Arial" w:cs="Arial"/>
          <w:b/>
        </w:rPr>
        <w:t>AL PRACTICE GUIDELINES AND IMPRO</w:t>
      </w:r>
      <w:r w:rsidRPr="00CE39CF">
        <w:rPr>
          <w:rFonts w:ascii="Arial" w:hAnsi="Arial" w:cs="Arial"/>
          <w:b/>
        </w:rPr>
        <w:t>VED PATIENT OUTCOMES</w:t>
      </w:r>
    </w:p>
    <w:p w14:paraId="6594061A" w14:textId="77777777" w:rsidR="008922A3" w:rsidRPr="00CE39CF" w:rsidRDefault="008922A3" w:rsidP="00BC0CE9">
      <w:pPr>
        <w:pStyle w:val="NoSpacing"/>
        <w:rPr>
          <w:rFonts w:ascii="Arial" w:hAnsi="Arial" w:cs="Arial"/>
        </w:rPr>
      </w:pPr>
    </w:p>
    <w:p w14:paraId="6594061B" w14:textId="77777777" w:rsidR="00BC0CE9" w:rsidRPr="00CE39CF" w:rsidRDefault="00BC0CE9" w:rsidP="00BC0CE9">
      <w:pPr>
        <w:pStyle w:val="NoSpacing"/>
        <w:rPr>
          <w:rFonts w:ascii="Arial" w:hAnsi="Arial" w:cs="Arial"/>
        </w:rPr>
      </w:pPr>
    </w:p>
    <w:p w14:paraId="6594061C" w14:textId="77777777" w:rsidR="00BC0CE9" w:rsidRPr="00CE39CF" w:rsidRDefault="00BC0CE9" w:rsidP="00BC0CE9">
      <w:pPr>
        <w:pStyle w:val="NoSpacing"/>
        <w:rPr>
          <w:rFonts w:ascii="Arial" w:hAnsi="Arial" w:cs="Arial"/>
        </w:rPr>
      </w:pPr>
      <w:r w:rsidRPr="00CE39CF">
        <w:rPr>
          <w:rFonts w:ascii="Arial" w:hAnsi="Arial" w:cs="Arial"/>
        </w:rPr>
        <w:t>A</w:t>
      </w:r>
      <w:r w:rsidR="000324D3" w:rsidRPr="00CE39CF">
        <w:rPr>
          <w:rFonts w:ascii="Arial" w:hAnsi="Arial" w:cs="Arial"/>
        </w:rPr>
        <w:t>PPENDIX 1:</w:t>
      </w:r>
      <w:r w:rsidR="005E5E38" w:rsidRPr="00CE39CF">
        <w:rPr>
          <w:rFonts w:ascii="Arial" w:hAnsi="Arial" w:cs="Arial"/>
        </w:rPr>
        <w:tab/>
      </w:r>
      <w:r w:rsidR="005C6C59" w:rsidRPr="00CE39CF">
        <w:rPr>
          <w:rFonts w:ascii="Arial" w:hAnsi="Arial" w:cs="Arial"/>
        </w:rPr>
        <w:t>COMPONENTS OF THE ACUTE CORONARY SYNDROME ORDER SET</w:t>
      </w:r>
    </w:p>
    <w:p w14:paraId="6594061D" w14:textId="77777777" w:rsidR="00BC0CE9" w:rsidRPr="00CE39CF" w:rsidRDefault="00BC0CE9" w:rsidP="00BC0CE9">
      <w:pPr>
        <w:pStyle w:val="NoSpacing"/>
        <w:rPr>
          <w:rFonts w:ascii="Arial" w:hAnsi="Arial" w:cs="Arial"/>
        </w:rPr>
      </w:pPr>
    </w:p>
    <w:p w14:paraId="6594061E" w14:textId="77777777" w:rsidR="005E5E38" w:rsidRPr="00CE39CF" w:rsidRDefault="00BC0CE9" w:rsidP="002B01F2">
      <w:pPr>
        <w:pStyle w:val="NoSpacing"/>
        <w:rPr>
          <w:rFonts w:ascii="Arial" w:hAnsi="Arial" w:cs="Arial"/>
        </w:rPr>
      </w:pPr>
      <w:r w:rsidRPr="00CE39CF">
        <w:rPr>
          <w:rFonts w:ascii="Arial" w:hAnsi="Arial" w:cs="Arial"/>
        </w:rPr>
        <w:t>APPENDIX 2:</w:t>
      </w:r>
      <w:r w:rsidR="005E5E38" w:rsidRPr="00CE39CF">
        <w:rPr>
          <w:rFonts w:ascii="Arial" w:hAnsi="Arial" w:cs="Arial"/>
        </w:rPr>
        <w:t xml:space="preserve"> </w:t>
      </w:r>
      <w:r w:rsidR="005E5E38" w:rsidRPr="00CE39CF">
        <w:rPr>
          <w:rFonts w:ascii="Arial" w:hAnsi="Arial" w:cs="Arial"/>
        </w:rPr>
        <w:tab/>
        <w:t xml:space="preserve">COHORT ASSEMBLY </w:t>
      </w:r>
    </w:p>
    <w:p w14:paraId="6594061F" w14:textId="77777777" w:rsidR="005E5E38" w:rsidRPr="00CE39CF" w:rsidRDefault="005E5E38" w:rsidP="002B01F2">
      <w:pPr>
        <w:pStyle w:val="NoSpacing"/>
        <w:rPr>
          <w:rFonts w:ascii="Arial" w:hAnsi="Arial" w:cs="Arial"/>
        </w:rPr>
      </w:pPr>
    </w:p>
    <w:p w14:paraId="65940620" w14:textId="77777777" w:rsidR="005E5E38" w:rsidRDefault="005E5E38" w:rsidP="005E5E38">
      <w:pPr>
        <w:pStyle w:val="NoSpacing"/>
        <w:ind w:left="1440" w:hanging="1440"/>
        <w:rPr>
          <w:rFonts w:ascii="Arial" w:hAnsi="Arial" w:cs="Arial"/>
        </w:rPr>
      </w:pPr>
      <w:r w:rsidRPr="00CE39CF">
        <w:rPr>
          <w:rFonts w:ascii="Arial" w:hAnsi="Arial" w:cs="Arial"/>
        </w:rPr>
        <w:t xml:space="preserve">APPENDIX 3: </w:t>
      </w:r>
      <w:r w:rsidRPr="00CE39CF">
        <w:rPr>
          <w:rFonts w:ascii="Arial" w:hAnsi="Arial" w:cs="Arial"/>
        </w:rPr>
        <w:tab/>
        <w:t>EFFECT OF INCORPORATING PROCESS VARIABLES ON LOGISTIC REGRESSION MODEL</w:t>
      </w:r>
      <w:r w:rsidR="00BC0CE9" w:rsidRPr="00CE39CF">
        <w:rPr>
          <w:rFonts w:ascii="Arial" w:hAnsi="Arial" w:cs="Arial"/>
        </w:rPr>
        <w:t xml:space="preserve"> </w:t>
      </w:r>
    </w:p>
    <w:p w14:paraId="69F8F244" w14:textId="77777777" w:rsidR="00EF3085" w:rsidRDefault="00EF3085" w:rsidP="005E5E38">
      <w:pPr>
        <w:pStyle w:val="NoSpacing"/>
        <w:ind w:left="1440" w:hanging="1440"/>
        <w:rPr>
          <w:rFonts w:ascii="Arial" w:hAnsi="Arial" w:cs="Arial"/>
        </w:rPr>
      </w:pPr>
    </w:p>
    <w:p w14:paraId="0E7309AD" w14:textId="6E46E5B2" w:rsidR="00EF3085" w:rsidRPr="00CE39CF" w:rsidRDefault="00EF3085" w:rsidP="005E5E38">
      <w:pPr>
        <w:pStyle w:val="NoSpacing"/>
        <w:ind w:left="1440" w:hanging="1440"/>
        <w:rPr>
          <w:rFonts w:ascii="Arial" w:hAnsi="Arial" w:cs="Arial"/>
        </w:rPr>
      </w:pPr>
      <w:r>
        <w:rPr>
          <w:rFonts w:ascii="Arial" w:hAnsi="Arial" w:cs="Arial"/>
        </w:rPr>
        <w:t>FIGURE:</w:t>
      </w:r>
      <w:r>
        <w:rPr>
          <w:rFonts w:ascii="Arial" w:hAnsi="Arial" w:cs="Arial"/>
        </w:rPr>
        <w:tab/>
        <w:t>DISTRIBUTION OF PROPENSITY SCORES</w:t>
      </w:r>
    </w:p>
    <w:p w14:paraId="65940621" w14:textId="77777777" w:rsidR="005E5E38" w:rsidRPr="00CE39CF" w:rsidRDefault="005E5E38" w:rsidP="002B01F2">
      <w:pPr>
        <w:pStyle w:val="NoSpacing"/>
        <w:rPr>
          <w:rFonts w:ascii="Arial" w:hAnsi="Arial" w:cs="Arial"/>
        </w:rPr>
      </w:pPr>
    </w:p>
    <w:p w14:paraId="65940622" w14:textId="77777777" w:rsidR="00A73100" w:rsidRDefault="005E5E38" w:rsidP="002B01F2">
      <w:pPr>
        <w:pStyle w:val="NoSpacing"/>
        <w:rPr>
          <w:rFonts w:ascii="Arial" w:hAnsi="Arial" w:cs="Arial"/>
        </w:rPr>
      </w:pPr>
      <w:r w:rsidRPr="00CE39CF">
        <w:rPr>
          <w:rFonts w:ascii="Arial" w:hAnsi="Arial" w:cs="Arial"/>
        </w:rPr>
        <w:t>APPENDIX 4:</w:t>
      </w:r>
      <w:r w:rsidRPr="00CE39CF">
        <w:rPr>
          <w:rFonts w:ascii="Arial" w:hAnsi="Arial" w:cs="Arial"/>
        </w:rPr>
        <w:tab/>
      </w:r>
      <w:r w:rsidR="005C6C59" w:rsidRPr="00CE39CF">
        <w:rPr>
          <w:rFonts w:ascii="Arial" w:hAnsi="Arial" w:cs="Arial"/>
        </w:rPr>
        <w:t>DESCRIPTION OF MATCHED PAIRS</w:t>
      </w:r>
    </w:p>
    <w:p w14:paraId="7E55CDC9" w14:textId="77777777" w:rsidR="00EF3085" w:rsidRDefault="00EF3085" w:rsidP="002B01F2">
      <w:pPr>
        <w:pStyle w:val="NoSpacing"/>
        <w:rPr>
          <w:rFonts w:ascii="Arial" w:hAnsi="Arial" w:cs="Arial"/>
        </w:rPr>
      </w:pPr>
    </w:p>
    <w:p w14:paraId="3CC49719" w14:textId="30E6D22E" w:rsidR="00EF3085" w:rsidRPr="00CE39CF" w:rsidRDefault="00EF3085" w:rsidP="002B01F2">
      <w:pPr>
        <w:pStyle w:val="NoSpacing"/>
        <w:rPr>
          <w:rFonts w:ascii="Arial" w:hAnsi="Arial" w:cs="Arial"/>
        </w:rPr>
      </w:pPr>
      <w:r>
        <w:rPr>
          <w:rFonts w:ascii="Arial" w:hAnsi="Arial" w:cs="Arial"/>
        </w:rPr>
        <w:t>APPENDIX 5: SUPPLEMENTAL ANALYSIS</w:t>
      </w:r>
    </w:p>
    <w:p w14:paraId="65940626" w14:textId="77777777" w:rsidR="00425243" w:rsidRPr="00CE39CF" w:rsidRDefault="00425243">
      <w:pPr>
        <w:rPr>
          <w:rFonts w:ascii="Arial" w:hAnsi="Arial" w:cs="Arial"/>
        </w:rPr>
      </w:pPr>
    </w:p>
    <w:p w14:paraId="65940627" w14:textId="77777777" w:rsidR="002B01F2" w:rsidRPr="00CE39CF" w:rsidRDefault="00B7265B">
      <w:pPr>
        <w:rPr>
          <w:rFonts w:ascii="Arial" w:hAnsi="Arial" w:cs="Arial"/>
        </w:rPr>
        <w:sectPr w:rsidR="002B01F2" w:rsidRPr="00CE39CF" w:rsidSect="002B01F2">
          <w:pgSz w:w="12240" w:h="15840"/>
          <w:pgMar w:top="1440" w:right="1440" w:bottom="1440" w:left="1440" w:header="720" w:footer="720" w:gutter="0"/>
          <w:cols w:space="720"/>
          <w:docGrid w:linePitch="360"/>
        </w:sectPr>
      </w:pPr>
      <w:r w:rsidRPr="00CE39CF">
        <w:rPr>
          <w:rFonts w:ascii="Arial" w:hAnsi="Arial" w:cs="Arial"/>
        </w:rPr>
        <w:br w:type="page"/>
      </w:r>
    </w:p>
    <w:p w14:paraId="65940628" w14:textId="77777777" w:rsidR="00B7265B" w:rsidRPr="00CE39CF" w:rsidRDefault="00BC0CE9" w:rsidP="00BC0CE9">
      <w:pPr>
        <w:pStyle w:val="NoSpacing"/>
        <w:rPr>
          <w:rFonts w:ascii="Arial" w:hAnsi="Arial" w:cs="Arial"/>
          <w:b/>
        </w:rPr>
      </w:pPr>
      <w:r w:rsidRPr="00CE39CF">
        <w:rPr>
          <w:rFonts w:ascii="Arial" w:hAnsi="Arial" w:cs="Arial"/>
          <w:b/>
        </w:rPr>
        <w:lastRenderedPageBreak/>
        <w:t>APPENDIX 1</w:t>
      </w:r>
    </w:p>
    <w:p w14:paraId="65940629" w14:textId="77777777" w:rsidR="00FB26C7" w:rsidRPr="00CE39CF" w:rsidRDefault="00FB26C7" w:rsidP="00BC0CE9">
      <w:pPr>
        <w:pStyle w:val="NoSpacing"/>
        <w:rPr>
          <w:rFonts w:ascii="Arial" w:hAnsi="Arial" w:cs="Arial"/>
          <w:b/>
        </w:rPr>
      </w:pPr>
    </w:p>
    <w:p w14:paraId="6594062A" w14:textId="77777777" w:rsidR="007A6D88" w:rsidRPr="00CE39CF" w:rsidRDefault="00FB26C7" w:rsidP="007A6D88">
      <w:pPr>
        <w:pStyle w:val="NoSpacing"/>
        <w:rPr>
          <w:rFonts w:ascii="Arial" w:hAnsi="Arial" w:cs="Arial"/>
          <w:b/>
        </w:rPr>
      </w:pPr>
      <w:r w:rsidRPr="00CE39CF">
        <w:rPr>
          <w:rFonts w:ascii="Arial" w:hAnsi="Arial" w:cs="Arial"/>
          <w:b/>
        </w:rPr>
        <w:t xml:space="preserve">COMPONENTS </w:t>
      </w:r>
      <w:r w:rsidR="00FB0B04" w:rsidRPr="00CE39CF">
        <w:rPr>
          <w:rFonts w:ascii="Arial" w:hAnsi="Arial" w:cs="Arial"/>
          <w:b/>
        </w:rPr>
        <w:t>OF THE</w:t>
      </w:r>
      <w:r w:rsidRPr="00CE39CF">
        <w:rPr>
          <w:rFonts w:ascii="Arial" w:hAnsi="Arial" w:cs="Arial"/>
          <w:b/>
        </w:rPr>
        <w:t xml:space="preserve"> ACUTE CORONARY SYNDROME (</w:t>
      </w:r>
      <w:r w:rsidR="0069021F" w:rsidRPr="00CE39CF">
        <w:rPr>
          <w:rFonts w:ascii="Arial" w:hAnsi="Arial" w:cs="Arial"/>
          <w:b/>
        </w:rPr>
        <w:t>AMI</w:t>
      </w:r>
      <w:r w:rsidRPr="00CE39CF">
        <w:rPr>
          <w:rFonts w:ascii="Arial" w:hAnsi="Arial" w:cs="Arial"/>
          <w:b/>
        </w:rPr>
        <w:t>) ORDER SET</w:t>
      </w:r>
      <w:r w:rsidR="00FB0B04" w:rsidRPr="00CE39CF">
        <w:rPr>
          <w:rFonts w:ascii="Arial" w:hAnsi="Arial" w:cs="Arial"/>
          <w:b/>
        </w:rPr>
        <w:t xml:space="preserve"> (AMI-OS)</w:t>
      </w:r>
    </w:p>
    <w:p w14:paraId="6594062B" w14:textId="77777777" w:rsidR="00FB26C7" w:rsidRPr="00CE39CF" w:rsidRDefault="00FB26C7" w:rsidP="007A6D88">
      <w:pPr>
        <w:pStyle w:val="NoSpacing"/>
        <w:rPr>
          <w:rFonts w:ascii="Arial" w:hAnsi="Arial" w:cs="Arial"/>
        </w:rPr>
      </w:pPr>
      <w:r w:rsidRPr="00CE39CF">
        <w:rPr>
          <w:rFonts w:ascii="Arial" w:hAnsi="Arial" w:cs="Arial"/>
        </w:rPr>
        <w:t xml:space="preserve"> </w:t>
      </w:r>
    </w:p>
    <w:p w14:paraId="6594062C" w14:textId="77777777" w:rsidR="00FB26C7" w:rsidRPr="00CE39CF" w:rsidRDefault="00FB26C7" w:rsidP="007A6D88">
      <w:pPr>
        <w:pStyle w:val="NoSpacing"/>
        <w:rPr>
          <w:rFonts w:ascii="Arial" w:hAnsi="Arial" w:cs="Arial"/>
        </w:rPr>
      </w:pPr>
      <w:r w:rsidRPr="00CE39CF">
        <w:rPr>
          <w:rFonts w:ascii="Arial" w:hAnsi="Arial" w:cs="Arial"/>
        </w:rPr>
        <w:t xml:space="preserve">Order set provides a list of required orders, medications, studies and consultation at the time of order initiation.  The </w:t>
      </w:r>
      <w:r w:rsidR="0069021F" w:rsidRPr="00CE39CF">
        <w:rPr>
          <w:rFonts w:ascii="Arial" w:hAnsi="Arial" w:cs="Arial"/>
        </w:rPr>
        <w:t>AMI</w:t>
      </w:r>
      <w:r w:rsidRPr="00CE39CF">
        <w:rPr>
          <w:rFonts w:ascii="Arial" w:hAnsi="Arial" w:cs="Arial"/>
        </w:rPr>
        <w:t xml:space="preserve"> Order Set was developed by a multidisciplinary expert panel based upon reviews of the literature and national guidelines.  </w:t>
      </w:r>
    </w:p>
    <w:p w14:paraId="6594062D" w14:textId="77777777" w:rsidR="007A6D88" w:rsidRPr="00CE39CF" w:rsidRDefault="007A6D88" w:rsidP="007A6D88">
      <w:pPr>
        <w:pStyle w:val="NoSpacing"/>
        <w:rPr>
          <w:rFonts w:ascii="Arial" w:hAnsi="Arial" w:cs="Arial"/>
        </w:rPr>
      </w:pPr>
    </w:p>
    <w:p w14:paraId="6594062E" w14:textId="77777777" w:rsidR="00FB26C7" w:rsidRPr="00CE39CF" w:rsidRDefault="00FB26C7" w:rsidP="00FB26C7">
      <w:pPr>
        <w:autoSpaceDE w:val="0"/>
        <w:autoSpaceDN w:val="0"/>
        <w:adjustRightInd w:val="0"/>
        <w:spacing w:after="240" w:line="240" w:lineRule="auto"/>
        <w:rPr>
          <w:rFonts w:ascii="Arial" w:hAnsi="Arial" w:cs="Arial"/>
          <w:color w:val="000000"/>
        </w:rPr>
      </w:pPr>
      <w:r w:rsidRPr="00CE39CF">
        <w:rPr>
          <w:rFonts w:ascii="Arial" w:hAnsi="Arial" w:cs="Arial"/>
          <w:color w:val="000000"/>
        </w:rPr>
        <w:t>Required Medications:</w:t>
      </w:r>
    </w:p>
    <w:p w14:paraId="6594062F"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1.</w:t>
      </w:r>
      <w:r w:rsidRPr="00CE39CF">
        <w:rPr>
          <w:rFonts w:ascii="Arial" w:hAnsi="Arial" w:cs="Arial"/>
          <w:color w:val="000000"/>
        </w:rPr>
        <w:tab/>
        <w:t>Aspirin 325</w:t>
      </w:r>
      <w:r w:rsidR="00FB0B04" w:rsidRPr="00CE39CF">
        <w:rPr>
          <w:rFonts w:ascii="Arial" w:hAnsi="Arial" w:cs="Arial"/>
          <w:color w:val="000000"/>
        </w:rPr>
        <w:t xml:space="preserve"> </w:t>
      </w:r>
      <w:r w:rsidRPr="00CE39CF">
        <w:rPr>
          <w:rFonts w:ascii="Arial" w:hAnsi="Arial" w:cs="Arial"/>
          <w:color w:val="000000"/>
        </w:rPr>
        <w:t>mg oral daily or 162mg oral daily</w:t>
      </w:r>
    </w:p>
    <w:p w14:paraId="65940630"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2.</w:t>
      </w:r>
      <w:r w:rsidRPr="00CE39CF">
        <w:rPr>
          <w:rFonts w:ascii="Arial" w:hAnsi="Arial" w:cs="Arial"/>
          <w:color w:val="000000"/>
        </w:rPr>
        <w:tab/>
      </w:r>
      <w:proofErr w:type="spellStart"/>
      <w:r w:rsidRPr="00CE39CF">
        <w:rPr>
          <w:rFonts w:ascii="Arial" w:hAnsi="Arial" w:cs="Arial"/>
          <w:color w:val="000000"/>
        </w:rPr>
        <w:t>Metroprolol</w:t>
      </w:r>
      <w:proofErr w:type="spellEnd"/>
      <w:r w:rsidRPr="00CE39CF">
        <w:rPr>
          <w:rFonts w:ascii="Arial" w:hAnsi="Arial" w:cs="Arial"/>
          <w:color w:val="000000"/>
        </w:rPr>
        <w:t xml:space="preserve"> 25</w:t>
      </w:r>
      <w:r w:rsidR="00FB0B04" w:rsidRPr="00CE39CF">
        <w:rPr>
          <w:rFonts w:ascii="Arial" w:hAnsi="Arial" w:cs="Arial"/>
          <w:color w:val="000000"/>
        </w:rPr>
        <w:t xml:space="preserve"> </w:t>
      </w:r>
      <w:r w:rsidRPr="00CE39CF">
        <w:rPr>
          <w:rFonts w:ascii="Arial" w:hAnsi="Arial" w:cs="Arial"/>
          <w:color w:val="000000"/>
        </w:rPr>
        <w:t xml:space="preserve">mg oral twice a day or Atenolol 25 mg oral daily or </w:t>
      </w:r>
      <w:proofErr w:type="gramStart"/>
      <w:r w:rsidRPr="00CE39CF">
        <w:rPr>
          <w:rFonts w:ascii="Arial" w:hAnsi="Arial" w:cs="Arial"/>
          <w:color w:val="000000"/>
        </w:rPr>
        <w:t>Metoprolol  5mg</w:t>
      </w:r>
      <w:proofErr w:type="gramEnd"/>
      <w:r w:rsidRPr="00CE39CF">
        <w:rPr>
          <w:rFonts w:ascii="Arial" w:hAnsi="Arial" w:cs="Arial"/>
          <w:color w:val="000000"/>
        </w:rPr>
        <w:t xml:space="preserve"> IV</w:t>
      </w:r>
    </w:p>
    <w:p w14:paraId="65940631"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3.</w:t>
      </w:r>
      <w:r w:rsidRPr="00CE39CF">
        <w:rPr>
          <w:rFonts w:ascii="Arial" w:hAnsi="Arial" w:cs="Arial"/>
          <w:color w:val="000000"/>
        </w:rPr>
        <w:tab/>
        <w:t>Lisinopril 5</w:t>
      </w:r>
      <w:r w:rsidR="00FB0B04" w:rsidRPr="00CE39CF">
        <w:rPr>
          <w:rFonts w:ascii="Arial" w:hAnsi="Arial" w:cs="Arial"/>
          <w:color w:val="000000"/>
        </w:rPr>
        <w:t xml:space="preserve"> </w:t>
      </w:r>
      <w:r w:rsidRPr="00CE39CF">
        <w:rPr>
          <w:rFonts w:ascii="Arial" w:hAnsi="Arial" w:cs="Arial"/>
          <w:color w:val="000000"/>
        </w:rPr>
        <w:t>mg oral daily or Captopril 12.5mg oral every 8 hours or Losartan oral 25mg daily</w:t>
      </w:r>
    </w:p>
    <w:p w14:paraId="65940632"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4.</w:t>
      </w:r>
      <w:r w:rsidRPr="00CE39CF">
        <w:rPr>
          <w:rFonts w:ascii="Arial" w:hAnsi="Arial" w:cs="Arial"/>
          <w:color w:val="000000"/>
        </w:rPr>
        <w:tab/>
        <w:t>Atorvastatin 40</w:t>
      </w:r>
      <w:r w:rsidR="00FB0B04" w:rsidRPr="00CE39CF">
        <w:rPr>
          <w:rFonts w:ascii="Arial" w:hAnsi="Arial" w:cs="Arial"/>
          <w:color w:val="000000"/>
        </w:rPr>
        <w:t xml:space="preserve"> </w:t>
      </w:r>
      <w:r w:rsidRPr="00CE39CF">
        <w:rPr>
          <w:rFonts w:ascii="Arial" w:hAnsi="Arial" w:cs="Arial"/>
          <w:color w:val="000000"/>
        </w:rPr>
        <w:t>mg or 80</w:t>
      </w:r>
      <w:r w:rsidR="00FB0B04" w:rsidRPr="00CE39CF">
        <w:rPr>
          <w:rFonts w:ascii="Arial" w:hAnsi="Arial" w:cs="Arial"/>
          <w:color w:val="000000"/>
        </w:rPr>
        <w:t xml:space="preserve"> </w:t>
      </w:r>
      <w:r w:rsidRPr="00CE39CF">
        <w:rPr>
          <w:rFonts w:ascii="Arial" w:hAnsi="Arial" w:cs="Arial"/>
          <w:color w:val="000000"/>
        </w:rPr>
        <w:t>mg oral daily, or Pravastatin 20 or 80 mg oral daily or Simvastatin 40</w:t>
      </w:r>
      <w:r w:rsidR="00FB0B04" w:rsidRPr="00CE39CF">
        <w:rPr>
          <w:rFonts w:ascii="Arial" w:hAnsi="Arial" w:cs="Arial"/>
          <w:color w:val="000000"/>
        </w:rPr>
        <w:t xml:space="preserve"> </w:t>
      </w:r>
      <w:r w:rsidRPr="00CE39CF">
        <w:rPr>
          <w:rFonts w:ascii="Arial" w:hAnsi="Arial" w:cs="Arial"/>
          <w:color w:val="000000"/>
        </w:rPr>
        <w:t>mg oral daily</w:t>
      </w:r>
    </w:p>
    <w:p w14:paraId="65940633" w14:textId="77777777" w:rsidR="00FB26C7" w:rsidRPr="00CE39CF" w:rsidRDefault="00FB26C7" w:rsidP="00FB26C7">
      <w:pPr>
        <w:autoSpaceDE w:val="0"/>
        <w:autoSpaceDN w:val="0"/>
        <w:adjustRightInd w:val="0"/>
        <w:spacing w:after="240" w:line="240" w:lineRule="auto"/>
        <w:rPr>
          <w:rFonts w:ascii="Arial" w:hAnsi="Arial" w:cs="Arial"/>
          <w:color w:val="000000"/>
        </w:rPr>
      </w:pPr>
      <w:r w:rsidRPr="00CE39CF">
        <w:rPr>
          <w:rFonts w:ascii="Arial" w:hAnsi="Arial" w:cs="Arial"/>
          <w:color w:val="000000"/>
        </w:rPr>
        <w:t>Optional Medications or Medications As Needed:</w:t>
      </w:r>
    </w:p>
    <w:p w14:paraId="65940634"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1.</w:t>
      </w:r>
      <w:r w:rsidRPr="00CE39CF">
        <w:rPr>
          <w:rFonts w:ascii="Arial" w:hAnsi="Arial" w:cs="Arial"/>
          <w:color w:val="000000"/>
        </w:rPr>
        <w:tab/>
        <w:t>Clopidogrel 75</w:t>
      </w:r>
      <w:r w:rsidR="00FB0B04" w:rsidRPr="00CE39CF">
        <w:rPr>
          <w:rFonts w:ascii="Arial" w:hAnsi="Arial" w:cs="Arial"/>
          <w:color w:val="000000"/>
        </w:rPr>
        <w:t xml:space="preserve"> </w:t>
      </w:r>
      <w:r w:rsidRPr="00CE39CF">
        <w:rPr>
          <w:rFonts w:ascii="Arial" w:hAnsi="Arial" w:cs="Arial"/>
          <w:color w:val="000000"/>
        </w:rPr>
        <w:t>mg oral daily or 300mg oral single dose</w:t>
      </w:r>
    </w:p>
    <w:p w14:paraId="65940635"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2.</w:t>
      </w:r>
      <w:r w:rsidRPr="00CE39CF">
        <w:rPr>
          <w:rFonts w:ascii="Arial" w:hAnsi="Arial" w:cs="Arial"/>
          <w:color w:val="000000"/>
        </w:rPr>
        <w:tab/>
        <w:t>Unfractionated heparin drip (weight based)</w:t>
      </w:r>
    </w:p>
    <w:p w14:paraId="65940636"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3.</w:t>
      </w:r>
      <w:r w:rsidRPr="00CE39CF">
        <w:rPr>
          <w:rFonts w:ascii="Arial" w:hAnsi="Arial" w:cs="Arial"/>
          <w:color w:val="000000"/>
        </w:rPr>
        <w:tab/>
      </w:r>
      <w:proofErr w:type="spellStart"/>
      <w:r w:rsidRPr="00CE39CF">
        <w:rPr>
          <w:rFonts w:ascii="Arial" w:hAnsi="Arial" w:cs="Arial"/>
          <w:color w:val="000000"/>
        </w:rPr>
        <w:t>Enoxapin</w:t>
      </w:r>
      <w:proofErr w:type="spellEnd"/>
      <w:r w:rsidRPr="00CE39CF">
        <w:rPr>
          <w:rFonts w:ascii="Arial" w:hAnsi="Arial" w:cs="Arial"/>
          <w:color w:val="000000"/>
        </w:rPr>
        <w:t xml:space="preserve"> 1</w:t>
      </w:r>
      <w:r w:rsidR="00FB0B04" w:rsidRPr="00CE39CF">
        <w:rPr>
          <w:rFonts w:ascii="Arial" w:hAnsi="Arial" w:cs="Arial"/>
          <w:color w:val="000000"/>
        </w:rPr>
        <w:t xml:space="preserve"> </w:t>
      </w:r>
      <w:r w:rsidRPr="00CE39CF">
        <w:rPr>
          <w:rFonts w:ascii="Arial" w:hAnsi="Arial" w:cs="Arial"/>
          <w:color w:val="000000"/>
        </w:rPr>
        <w:t>mg/kg subcutaneous every 12 hours</w:t>
      </w:r>
    </w:p>
    <w:p w14:paraId="65940637"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4.</w:t>
      </w:r>
      <w:r w:rsidRPr="00CE39CF">
        <w:rPr>
          <w:rFonts w:ascii="Arial" w:hAnsi="Arial" w:cs="Arial"/>
          <w:color w:val="000000"/>
        </w:rPr>
        <w:tab/>
        <w:t>Nitroglycerin 0.4</w:t>
      </w:r>
      <w:r w:rsidR="00FB0B04" w:rsidRPr="00CE39CF">
        <w:rPr>
          <w:rFonts w:ascii="Arial" w:hAnsi="Arial" w:cs="Arial"/>
          <w:color w:val="000000"/>
        </w:rPr>
        <w:t xml:space="preserve"> </w:t>
      </w:r>
      <w:r w:rsidRPr="00CE39CF">
        <w:rPr>
          <w:rFonts w:ascii="Arial" w:hAnsi="Arial" w:cs="Arial"/>
          <w:color w:val="000000"/>
        </w:rPr>
        <w:t xml:space="preserve">mg </w:t>
      </w:r>
      <w:proofErr w:type="spellStart"/>
      <w:r w:rsidRPr="00CE39CF">
        <w:rPr>
          <w:rFonts w:ascii="Arial" w:hAnsi="Arial" w:cs="Arial"/>
          <w:color w:val="000000"/>
        </w:rPr>
        <w:t>sublinguinal</w:t>
      </w:r>
      <w:proofErr w:type="spellEnd"/>
      <w:r w:rsidRPr="00CE39CF">
        <w:rPr>
          <w:rFonts w:ascii="Arial" w:hAnsi="Arial" w:cs="Arial"/>
          <w:color w:val="000000"/>
        </w:rPr>
        <w:t xml:space="preserve"> every 5 minutes or nitroglycerin 1</w:t>
      </w:r>
      <w:r w:rsidR="00FB0B04" w:rsidRPr="00CE39CF">
        <w:rPr>
          <w:rFonts w:ascii="Arial" w:hAnsi="Arial" w:cs="Arial"/>
          <w:color w:val="000000"/>
        </w:rPr>
        <w:t xml:space="preserve"> </w:t>
      </w:r>
      <w:r w:rsidRPr="00CE39CF">
        <w:rPr>
          <w:rFonts w:ascii="Arial" w:hAnsi="Arial" w:cs="Arial"/>
          <w:color w:val="000000"/>
        </w:rPr>
        <w:t>gm transdermal every 6 hours or nitroglycerin drip 20</w:t>
      </w:r>
      <w:r w:rsidR="00FB0B04" w:rsidRPr="00CE39CF">
        <w:rPr>
          <w:rFonts w:ascii="Arial" w:hAnsi="Arial" w:cs="Arial"/>
          <w:color w:val="000000"/>
        </w:rPr>
        <w:t xml:space="preserve"> </w:t>
      </w:r>
      <w:proofErr w:type="spellStart"/>
      <w:r w:rsidRPr="00CE39CF">
        <w:rPr>
          <w:rFonts w:ascii="Arial" w:hAnsi="Arial" w:cs="Arial"/>
          <w:color w:val="000000"/>
        </w:rPr>
        <w:t>mccg</w:t>
      </w:r>
      <w:proofErr w:type="spellEnd"/>
      <w:r w:rsidRPr="00CE39CF">
        <w:rPr>
          <w:rFonts w:ascii="Arial" w:hAnsi="Arial" w:cs="Arial"/>
          <w:color w:val="000000"/>
        </w:rPr>
        <w:t>/minute IV infusion</w:t>
      </w:r>
    </w:p>
    <w:p w14:paraId="65940638"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5.</w:t>
      </w:r>
      <w:r w:rsidRPr="00CE39CF">
        <w:rPr>
          <w:rFonts w:ascii="Arial" w:hAnsi="Arial" w:cs="Arial"/>
          <w:color w:val="000000"/>
        </w:rPr>
        <w:tab/>
        <w:t>Acetaminophen 650</w:t>
      </w:r>
      <w:r w:rsidR="00FB0B04" w:rsidRPr="00CE39CF">
        <w:rPr>
          <w:rFonts w:ascii="Arial" w:hAnsi="Arial" w:cs="Arial"/>
          <w:color w:val="000000"/>
        </w:rPr>
        <w:t xml:space="preserve"> </w:t>
      </w:r>
      <w:r w:rsidRPr="00CE39CF">
        <w:rPr>
          <w:rFonts w:ascii="Arial" w:hAnsi="Arial" w:cs="Arial"/>
          <w:color w:val="000000"/>
        </w:rPr>
        <w:t>mg oral every 4 hours for headache</w:t>
      </w:r>
    </w:p>
    <w:p w14:paraId="65940639"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6.</w:t>
      </w:r>
      <w:r w:rsidRPr="00CE39CF">
        <w:rPr>
          <w:rFonts w:ascii="Arial" w:hAnsi="Arial" w:cs="Arial"/>
          <w:color w:val="000000"/>
        </w:rPr>
        <w:tab/>
        <w:t>Morphine Sulfate 2</w:t>
      </w:r>
      <w:r w:rsidR="00FB0B04" w:rsidRPr="00CE39CF">
        <w:rPr>
          <w:rFonts w:ascii="Arial" w:hAnsi="Arial" w:cs="Arial"/>
          <w:color w:val="000000"/>
        </w:rPr>
        <w:t xml:space="preserve"> </w:t>
      </w:r>
      <w:r w:rsidRPr="00CE39CF">
        <w:rPr>
          <w:rFonts w:ascii="Arial" w:hAnsi="Arial" w:cs="Arial"/>
          <w:color w:val="000000"/>
        </w:rPr>
        <w:t>mg IV every 5 minutes as needed</w:t>
      </w:r>
    </w:p>
    <w:p w14:paraId="6594063A" w14:textId="77777777" w:rsidR="00FB26C7" w:rsidRPr="00CE39CF" w:rsidRDefault="00FB26C7" w:rsidP="00FB26C7">
      <w:pPr>
        <w:autoSpaceDE w:val="0"/>
        <w:autoSpaceDN w:val="0"/>
        <w:adjustRightInd w:val="0"/>
        <w:spacing w:after="240" w:line="240" w:lineRule="auto"/>
        <w:rPr>
          <w:rFonts w:ascii="Arial" w:hAnsi="Arial" w:cs="Arial"/>
          <w:color w:val="000000"/>
        </w:rPr>
      </w:pPr>
      <w:r w:rsidRPr="00CE39CF">
        <w:rPr>
          <w:rFonts w:ascii="Arial" w:hAnsi="Arial" w:cs="Arial"/>
          <w:color w:val="000000"/>
        </w:rPr>
        <w:t>Laboratory Tests:</w:t>
      </w:r>
    </w:p>
    <w:p w14:paraId="6594063B"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1.</w:t>
      </w:r>
      <w:r w:rsidRPr="00CE39CF">
        <w:rPr>
          <w:rFonts w:ascii="Arial" w:hAnsi="Arial" w:cs="Arial"/>
          <w:color w:val="000000"/>
        </w:rPr>
        <w:tab/>
      </w:r>
      <w:proofErr w:type="spellStart"/>
      <w:r w:rsidRPr="00CE39CF">
        <w:rPr>
          <w:rFonts w:ascii="Arial" w:hAnsi="Arial" w:cs="Arial"/>
          <w:color w:val="000000"/>
        </w:rPr>
        <w:t>Chem</w:t>
      </w:r>
      <w:proofErr w:type="spellEnd"/>
      <w:r w:rsidRPr="00CE39CF">
        <w:rPr>
          <w:rFonts w:ascii="Arial" w:hAnsi="Arial" w:cs="Arial"/>
          <w:color w:val="000000"/>
        </w:rPr>
        <w:t xml:space="preserve"> 7 Panel (Serum testing for Sodium, Potassium, Chloride, BUN, Glucose, Creatinine, and Bicarbonate)</w:t>
      </w:r>
    </w:p>
    <w:p w14:paraId="6594063C"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2.</w:t>
      </w:r>
      <w:r w:rsidRPr="00CE39CF">
        <w:rPr>
          <w:rFonts w:ascii="Arial" w:hAnsi="Arial" w:cs="Arial"/>
          <w:color w:val="000000"/>
        </w:rPr>
        <w:tab/>
        <w:t>Lipid Panel (Serum testing for High Density Lipoproteins, Low Density Lipoproteins</w:t>
      </w:r>
      <w:proofErr w:type="gramStart"/>
      <w:r w:rsidRPr="00CE39CF">
        <w:rPr>
          <w:rFonts w:ascii="Arial" w:hAnsi="Arial" w:cs="Arial"/>
          <w:color w:val="000000"/>
        </w:rPr>
        <w:t>,  Lipoprotein</w:t>
      </w:r>
      <w:proofErr w:type="gramEnd"/>
      <w:r w:rsidRPr="00CE39CF">
        <w:rPr>
          <w:rFonts w:ascii="Arial" w:hAnsi="Arial" w:cs="Arial"/>
          <w:color w:val="000000"/>
        </w:rPr>
        <w:t xml:space="preserve"> ratio, and Triglycerides)</w:t>
      </w:r>
    </w:p>
    <w:p w14:paraId="6594063D"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3.</w:t>
      </w:r>
      <w:r w:rsidRPr="00CE39CF">
        <w:rPr>
          <w:rFonts w:ascii="Arial" w:hAnsi="Arial" w:cs="Arial"/>
          <w:color w:val="000000"/>
        </w:rPr>
        <w:tab/>
        <w:t>Serum Troponin every 6 hours</w:t>
      </w:r>
    </w:p>
    <w:p w14:paraId="6594063E"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lastRenderedPageBreak/>
        <w:t>4.</w:t>
      </w:r>
      <w:r w:rsidRPr="00CE39CF">
        <w:rPr>
          <w:rFonts w:ascii="Arial" w:hAnsi="Arial" w:cs="Arial"/>
          <w:color w:val="000000"/>
        </w:rPr>
        <w:tab/>
        <w:t>Serum Alanine Aminotransferase (ALT)</w:t>
      </w:r>
    </w:p>
    <w:p w14:paraId="6594063F"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5.</w:t>
      </w:r>
      <w:r w:rsidRPr="00CE39CF">
        <w:rPr>
          <w:rFonts w:ascii="Arial" w:hAnsi="Arial" w:cs="Arial"/>
          <w:color w:val="000000"/>
        </w:rPr>
        <w:tab/>
        <w:t xml:space="preserve">Serum Prothrombin Time (PT) and International Normalized Ratio (INR) </w:t>
      </w:r>
    </w:p>
    <w:p w14:paraId="65940640"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6.</w:t>
      </w:r>
      <w:r w:rsidRPr="00CE39CF">
        <w:rPr>
          <w:rFonts w:ascii="Arial" w:hAnsi="Arial" w:cs="Arial"/>
          <w:color w:val="000000"/>
        </w:rPr>
        <w:tab/>
        <w:t>Complete Blood Count (CBC) without Differential</w:t>
      </w:r>
    </w:p>
    <w:p w14:paraId="65940641" w14:textId="77777777" w:rsidR="007A6D88" w:rsidRPr="00CE39CF" w:rsidRDefault="007A6D88" w:rsidP="00FB26C7">
      <w:pPr>
        <w:autoSpaceDE w:val="0"/>
        <w:autoSpaceDN w:val="0"/>
        <w:adjustRightInd w:val="0"/>
        <w:spacing w:after="240" w:line="240" w:lineRule="auto"/>
        <w:rPr>
          <w:rFonts w:ascii="Arial" w:hAnsi="Arial" w:cs="Arial"/>
          <w:color w:val="000000"/>
        </w:rPr>
      </w:pPr>
    </w:p>
    <w:p w14:paraId="65940642" w14:textId="77777777" w:rsidR="00FB26C7" w:rsidRPr="00CE39CF" w:rsidRDefault="00FB26C7" w:rsidP="00FB26C7">
      <w:pPr>
        <w:autoSpaceDE w:val="0"/>
        <w:autoSpaceDN w:val="0"/>
        <w:adjustRightInd w:val="0"/>
        <w:spacing w:after="240" w:line="240" w:lineRule="auto"/>
        <w:rPr>
          <w:rFonts w:ascii="Arial" w:hAnsi="Arial" w:cs="Arial"/>
          <w:color w:val="000000"/>
        </w:rPr>
      </w:pPr>
      <w:r w:rsidRPr="00CE39CF">
        <w:rPr>
          <w:rFonts w:ascii="Arial" w:hAnsi="Arial" w:cs="Arial"/>
          <w:color w:val="000000"/>
        </w:rPr>
        <w:t>Other Studies:</w:t>
      </w:r>
    </w:p>
    <w:p w14:paraId="65940643"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1.</w:t>
      </w:r>
      <w:r w:rsidRPr="00CE39CF">
        <w:rPr>
          <w:rFonts w:ascii="Arial" w:hAnsi="Arial" w:cs="Arial"/>
          <w:color w:val="000000"/>
        </w:rPr>
        <w:tab/>
        <w:t>Electrocardiogram (E</w:t>
      </w:r>
      <w:r w:rsidR="00FB0B04" w:rsidRPr="00CE39CF">
        <w:rPr>
          <w:rFonts w:ascii="Arial" w:hAnsi="Arial" w:cs="Arial"/>
          <w:color w:val="000000"/>
        </w:rPr>
        <w:t>C</w:t>
      </w:r>
      <w:r w:rsidRPr="00CE39CF">
        <w:rPr>
          <w:rFonts w:ascii="Arial" w:hAnsi="Arial" w:cs="Arial"/>
          <w:color w:val="000000"/>
        </w:rPr>
        <w:t>G) daily and a Standing Order for additional E</w:t>
      </w:r>
      <w:r w:rsidR="00FB0B04" w:rsidRPr="00CE39CF">
        <w:rPr>
          <w:rFonts w:ascii="Arial" w:hAnsi="Arial" w:cs="Arial"/>
          <w:color w:val="000000"/>
        </w:rPr>
        <w:t>C</w:t>
      </w:r>
      <w:r w:rsidRPr="00CE39CF">
        <w:rPr>
          <w:rFonts w:ascii="Arial" w:hAnsi="Arial" w:cs="Arial"/>
          <w:color w:val="000000"/>
        </w:rPr>
        <w:t>G studies should the patient be noted as symptomatic by nursing staff</w:t>
      </w:r>
    </w:p>
    <w:p w14:paraId="65940644"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2.</w:t>
      </w:r>
      <w:r w:rsidRPr="00CE39CF">
        <w:rPr>
          <w:rFonts w:ascii="Arial" w:hAnsi="Arial" w:cs="Arial"/>
          <w:color w:val="000000"/>
        </w:rPr>
        <w:tab/>
        <w:t>Chest X-Ray</w:t>
      </w:r>
    </w:p>
    <w:p w14:paraId="65940645" w14:textId="77777777" w:rsidR="00FB26C7" w:rsidRPr="00CE39CF" w:rsidRDefault="00FB26C7" w:rsidP="00FB26C7">
      <w:pPr>
        <w:autoSpaceDE w:val="0"/>
        <w:autoSpaceDN w:val="0"/>
        <w:adjustRightInd w:val="0"/>
        <w:spacing w:after="240" w:line="240" w:lineRule="auto"/>
        <w:ind w:left="1080" w:hanging="360"/>
        <w:rPr>
          <w:rFonts w:ascii="Arial" w:hAnsi="Arial" w:cs="Arial"/>
          <w:color w:val="000000"/>
        </w:rPr>
      </w:pPr>
      <w:r w:rsidRPr="00CE39CF">
        <w:rPr>
          <w:rFonts w:ascii="Arial" w:hAnsi="Arial" w:cs="Arial"/>
          <w:color w:val="000000"/>
        </w:rPr>
        <w:t>3.</w:t>
      </w:r>
      <w:r w:rsidRPr="00CE39CF">
        <w:rPr>
          <w:rFonts w:ascii="Arial" w:hAnsi="Arial" w:cs="Arial"/>
          <w:color w:val="000000"/>
        </w:rPr>
        <w:tab/>
        <w:t>Transthoracic Echocardiogram</w:t>
      </w:r>
    </w:p>
    <w:p w14:paraId="65940646" w14:textId="77777777" w:rsidR="00FB26C7" w:rsidRPr="00CE39CF" w:rsidRDefault="00FB26C7" w:rsidP="00FB26C7">
      <w:pPr>
        <w:autoSpaceDE w:val="0"/>
        <w:autoSpaceDN w:val="0"/>
        <w:adjustRightInd w:val="0"/>
        <w:spacing w:after="240" w:line="240" w:lineRule="auto"/>
        <w:rPr>
          <w:rFonts w:ascii="Arial" w:hAnsi="Arial" w:cs="Arial"/>
          <w:color w:val="000000"/>
        </w:rPr>
      </w:pPr>
      <w:r w:rsidRPr="00CE39CF">
        <w:rPr>
          <w:rFonts w:ascii="Arial" w:hAnsi="Arial" w:cs="Arial"/>
          <w:color w:val="000000"/>
        </w:rPr>
        <w:t>Consultation:</w:t>
      </w:r>
    </w:p>
    <w:p w14:paraId="65940647" w14:textId="77777777" w:rsidR="007A6D88" w:rsidRPr="00CE39CF" w:rsidRDefault="00FB26C7" w:rsidP="00E73023">
      <w:pPr>
        <w:pStyle w:val="NoSpacing"/>
        <w:ind w:left="720" w:hanging="720"/>
        <w:rPr>
          <w:rFonts w:ascii="Arial" w:hAnsi="Arial" w:cs="Arial"/>
          <w:color w:val="000000"/>
        </w:rPr>
      </w:pPr>
      <w:r w:rsidRPr="00CE39CF">
        <w:rPr>
          <w:rFonts w:ascii="Arial" w:hAnsi="Arial" w:cs="Arial"/>
          <w:color w:val="000000"/>
        </w:rPr>
        <w:tab/>
        <w:t>Cardiology consultation is automatically initiated when the order set is opened.  Upon signing by the physician, the system routes a communication to the cardiologist on service notifying of the consultation request.</w:t>
      </w:r>
    </w:p>
    <w:p w14:paraId="65940648" w14:textId="77777777" w:rsidR="007A6D88" w:rsidRPr="00CE39CF" w:rsidRDefault="007A6D88">
      <w:pPr>
        <w:rPr>
          <w:rFonts w:ascii="Arial" w:hAnsi="Arial" w:cs="Arial"/>
          <w:color w:val="000000"/>
        </w:rPr>
      </w:pPr>
      <w:r w:rsidRPr="00CE39CF">
        <w:rPr>
          <w:rFonts w:ascii="Arial" w:hAnsi="Arial" w:cs="Arial"/>
          <w:color w:val="000000"/>
        </w:rPr>
        <w:br w:type="page"/>
      </w:r>
    </w:p>
    <w:p w14:paraId="65940649" w14:textId="77777777" w:rsidR="00FB26C7" w:rsidRPr="00CE39CF" w:rsidRDefault="007A6D88" w:rsidP="007A6D88">
      <w:pPr>
        <w:pStyle w:val="NoSpacing"/>
        <w:rPr>
          <w:rFonts w:ascii="Arial" w:hAnsi="Arial" w:cs="Arial"/>
          <w:b/>
        </w:rPr>
      </w:pPr>
      <w:r w:rsidRPr="00CE39CF">
        <w:rPr>
          <w:rFonts w:ascii="Arial" w:hAnsi="Arial" w:cs="Arial"/>
          <w:b/>
        </w:rPr>
        <w:lastRenderedPageBreak/>
        <w:t>APPENDIX 2</w:t>
      </w:r>
    </w:p>
    <w:p w14:paraId="6594064A" w14:textId="77777777" w:rsidR="00BC0CE9" w:rsidRPr="00CE39CF" w:rsidRDefault="00BC0CE9" w:rsidP="007A6D88">
      <w:pPr>
        <w:pStyle w:val="NoSpacing"/>
        <w:rPr>
          <w:rFonts w:ascii="Arial" w:hAnsi="Arial" w:cs="Arial"/>
          <w:b/>
        </w:rPr>
      </w:pPr>
    </w:p>
    <w:p w14:paraId="6594064B" w14:textId="77777777" w:rsidR="007A6D88" w:rsidRPr="00CE39CF" w:rsidRDefault="007A6D88" w:rsidP="007A6D88">
      <w:pPr>
        <w:pStyle w:val="NoSpacing"/>
        <w:rPr>
          <w:rFonts w:ascii="Arial" w:hAnsi="Arial" w:cs="Arial"/>
          <w:b/>
        </w:rPr>
      </w:pPr>
      <w:r w:rsidRPr="00CE39CF">
        <w:rPr>
          <w:rFonts w:ascii="Arial" w:hAnsi="Arial" w:cs="Arial"/>
          <w:b/>
        </w:rPr>
        <w:t>STUDY COHORT ASSEMBLY</w:t>
      </w:r>
    </w:p>
    <w:p w14:paraId="6594064C" w14:textId="77777777" w:rsidR="007A6D88" w:rsidRPr="00CE39CF" w:rsidRDefault="007A6D88" w:rsidP="007A6D88">
      <w:pPr>
        <w:pStyle w:val="NoSpacing"/>
        <w:rPr>
          <w:rFonts w:ascii="Arial" w:hAnsi="Arial" w:cs="Arial"/>
        </w:rPr>
      </w:pPr>
    </w:p>
    <w:p w14:paraId="6594064D" w14:textId="77777777" w:rsidR="007A6D88" w:rsidRPr="00CE39CF" w:rsidRDefault="007A6D88" w:rsidP="007A6D88">
      <w:pPr>
        <w:pStyle w:val="NoSpacing"/>
        <w:rPr>
          <w:rFonts w:ascii="Arial" w:hAnsi="Arial" w:cs="Arial"/>
        </w:rPr>
      </w:pPr>
      <w:r w:rsidRPr="00CE39CF">
        <w:rPr>
          <w:rFonts w:ascii="Arial" w:hAnsi="Arial" w:cs="Arial"/>
        </w:rPr>
        <w:t>During the study period, a total of 10,437 patients were potentially eligible to be included in our study. Of these, 982 were excluded because they were admitted after 2010 and LAPS2 data was not available for them, and 882 were excluded because KPHC was in operation for &lt; 3 months at the hospital. Another 894 patients were excluded since they were not admitted for an overnight stay, 1,019 were excluded because the AMI-OS was used but it was not the first set of orders, and 772 were excluded because they were transfers from non-KPNC hospitals. Lastly, 58 patients were excluded as a result of manual chart review performed by two of us (</w:t>
      </w:r>
      <w:proofErr w:type="spellStart"/>
      <w:r w:rsidRPr="00CE39CF">
        <w:rPr>
          <w:rFonts w:ascii="Arial" w:hAnsi="Arial" w:cs="Arial"/>
        </w:rPr>
        <w:t>Ballesca</w:t>
      </w:r>
      <w:proofErr w:type="spellEnd"/>
      <w:r w:rsidRPr="00CE39CF">
        <w:rPr>
          <w:rFonts w:ascii="Arial" w:hAnsi="Arial" w:cs="Arial"/>
        </w:rPr>
        <w:t xml:space="preserve"> and Lee) because the diagnosis of AMI could not be confirmed. Characteristics of the remaining 5,879 eligible patients are summarized in Table 1 in the main text.</w:t>
      </w:r>
    </w:p>
    <w:p w14:paraId="6594064E" w14:textId="77777777" w:rsidR="007A6D88" w:rsidRPr="00CE39CF" w:rsidRDefault="007A6D88" w:rsidP="007A6D88">
      <w:pPr>
        <w:pStyle w:val="NoSpacing"/>
        <w:rPr>
          <w:rFonts w:ascii="Arial" w:hAnsi="Arial" w:cs="Arial"/>
        </w:rPr>
      </w:pPr>
    </w:p>
    <w:p w14:paraId="6594064F" w14:textId="77777777" w:rsidR="007A6D88" w:rsidRPr="00CE39CF" w:rsidRDefault="007A6D88" w:rsidP="007A6D88">
      <w:pPr>
        <w:pStyle w:val="NoSpacing"/>
        <w:rPr>
          <w:rFonts w:ascii="Arial" w:hAnsi="Arial" w:cs="Arial"/>
        </w:rPr>
      </w:pPr>
    </w:p>
    <w:p w14:paraId="65940650" w14:textId="77777777" w:rsidR="007A6D88" w:rsidRPr="00CE39CF" w:rsidRDefault="007A6D88" w:rsidP="007A6D88">
      <w:pPr>
        <w:pStyle w:val="NoSpacing"/>
        <w:rPr>
          <w:rFonts w:ascii="Arial" w:hAnsi="Arial" w:cs="Arial"/>
        </w:rPr>
      </w:pPr>
    </w:p>
    <w:p w14:paraId="65940651" w14:textId="77777777" w:rsidR="007A6D88" w:rsidRPr="00CE39CF" w:rsidRDefault="007A6D88">
      <w:pPr>
        <w:rPr>
          <w:rFonts w:ascii="Arial" w:hAnsi="Arial" w:cs="Arial"/>
        </w:rPr>
      </w:pPr>
      <w:r w:rsidRPr="00CE39CF">
        <w:rPr>
          <w:rFonts w:ascii="Arial" w:hAnsi="Arial" w:cs="Arial"/>
        </w:rPr>
        <w:br w:type="page"/>
      </w:r>
    </w:p>
    <w:p w14:paraId="65940652" w14:textId="77777777" w:rsidR="00FB0B04" w:rsidRPr="00CE39CF" w:rsidRDefault="007A6D88" w:rsidP="007A6D88">
      <w:pPr>
        <w:pStyle w:val="NoSpacing"/>
        <w:rPr>
          <w:rFonts w:ascii="Arial" w:hAnsi="Arial" w:cs="Arial"/>
          <w:b/>
        </w:rPr>
      </w:pPr>
      <w:r w:rsidRPr="00CE39CF">
        <w:rPr>
          <w:rFonts w:ascii="Arial" w:hAnsi="Arial" w:cs="Arial"/>
          <w:b/>
        </w:rPr>
        <w:lastRenderedPageBreak/>
        <w:t>APPENDIX 3</w:t>
      </w:r>
    </w:p>
    <w:p w14:paraId="5CC8F14B" w14:textId="77777777" w:rsidR="00D92C44" w:rsidRPr="00CE39CF" w:rsidRDefault="00D92C44" w:rsidP="007A6D88">
      <w:pPr>
        <w:pStyle w:val="NoSpacing"/>
        <w:rPr>
          <w:rFonts w:ascii="Arial" w:hAnsi="Arial" w:cs="Arial"/>
        </w:rPr>
      </w:pPr>
    </w:p>
    <w:tbl>
      <w:tblPr>
        <w:tblStyle w:val="TableGrid"/>
        <w:tblW w:w="8240" w:type="dxa"/>
        <w:tblLook w:val="04A0" w:firstRow="1" w:lastRow="0" w:firstColumn="1" w:lastColumn="0" w:noHBand="0" w:noVBand="1"/>
      </w:tblPr>
      <w:tblGrid>
        <w:gridCol w:w="4120"/>
        <w:gridCol w:w="1620"/>
        <w:gridCol w:w="2500"/>
      </w:tblGrid>
      <w:tr w:rsidR="00D92C44" w:rsidRPr="00CE39CF" w14:paraId="4F5FF2C8" w14:textId="77777777" w:rsidTr="004536F0">
        <w:trPr>
          <w:trHeight w:val="360"/>
        </w:trPr>
        <w:tc>
          <w:tcPr>
            <w:tcW w:w="8240" w:type="dxa"/>
            <w:gridSpan w:val="3"/>
            <w:hideMark/>
          </w:tcPr>
          <w:p w14:paraId="20C5627C"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LOGISTIC REGRESSION MODEL FOR INPATIENT MORTALITY (ORDER SET AND THERAPIES)</w:t>
            </w:r>
          </w:p>
        </w:tc>
      </w:tr>
      <w:tr w:rsidR="00D92C44" w:rsidRPr="00CE39CF" w14:paraId="43D6B72B" w14:textId="77777777" w:rsidTr="004536F0">
        <w:trPr>
          <w:trHeight w:val="360"/>
        </w:trPr>
        <w:tc>
          <w:tcPr>
            <w:tcW w:w="4120" w:type="dxa"/>
            <w:hideMark/>
          </w:tcPr>
          <w:p w14:paraId="2EF1C44A"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Outcome</w:t>
            </w:r>
          </w:p>
        </w:tc>
        <w:tc>
          <w:tcPr>
            <w:tcW w:w="1620" w:type="dxa"/>
            <w:hideMark/>
          </w:tcPr>
          <w:p w14:paraId="0C04185D" w14:textId="77777777" w:rsidR="00D92C44" w:rsidRPr="00CE39CF" w:rsidRDefault="00D92C44" w:rsidP="00D92C44">
            <w:pPr>
              <w:jc w:val="center"/>
              <w:rPr>
                <w:rFonts w:ascii="Arial" w:eastAsia="Times New Roman" w:hAnsi="Arial" w:cs="Arial"/>
                <w:b/>
                <w:bCs/>
                <w:color w:val="000000"/>
              </w:rPr>
            </w:pPr>
            <w:r w:rsidRPr="00CE39CF">
              <w:rPr>
                <w:rFonts w:ascii="Arial" w:eastAsia="Times New Roman" w:hAnsi="Arial" w:cs="Arial"/>
                <w:b/>
                <w:bCs/>
                <w:color w:val="000000"/>
              </w:rPr>
              <w:t>Death</w:t>
            </w:r>
          </w:p>
        </w:tc>
        <w:tc>
          <w:tcPr>
            <w:tcW w:w="2500" w:type="dxa"/>
            <w:hideMark/>
          </w:tcPr>
          <w:p w14:paraId="14275438" w14:textId="77777777" w:rsidR="00D92C44" w:rsidRPr="00CE39CF" w:rsidRDefault="00D92C44" w:rsidP="00D92C44">
            <w:pPr>
              <w:jc w:val="center"/>
              <w:rPr>
                <w:rFonts w:ascii="Arial" w:eastAsia="Times New Roman" w:hAnsi="Arial" w:cs="Arial"/>
                <w:b/>
                <w:bCs/>
                <w:color w:val="000000"/>
              </w:rPr>
            </w:pPr>
          </w:p>
        </w:tc>
      </w:tr>
      <w:tr w:rsidR="00D92C44" w:rsidRPr="00CE39CF" w14:paraId="61CE14D3" w14:textId="77777777" w:rsidTr="004536F0">
        <w:trPr>
          <w:trHeight w:val="360"/>
        </w:trPr>
        <w:tc>
          <w:tcPr>
            <w:tcW w:w="4120" w:type="dxa"/>
            <w:hideMark/>
          </w:tcPr>
          <w:p w14:paraId="1F3DC9C2"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Number of Outcomes</w:t>
            </w:r>
          </w:p>
        </w:tc>
        <w:tc>
          <w:tcPr>
            <w:tcW w:w="1620" w:type="dxa"/>
            <w:hideMark/>
          </w:tcPr>
          <w:p w14:paraId="2071E8DA" w14:textId="77777777" w:rsidR="00D92C44" w:rsidRPr="00CE39CF" w:rsidRDefault="00D92C44" w:rsidP="00D92C44">
            <w:pPr>
              <w:jc w:val="center"/>
              <w:rPr>
                <w:rFonts w:ascii="Arial" w:eastAsia="Times New Roman" w:hAnsi="Arial" w:cs="Arial"/>
                <w:i/>
                <w:iCs/>
                <w:color w:val="000000"/>
              </w:rPr>
            </w:pPr>
            <w:r w:rsidRPr="00CE39CF">
              <w:rPr>
                <w:rFonts w:ascii="Arial" w:eastAsia="Times New Roman" w:hAnsi="Arial" w:cs="Arial"/>
                <w:i/>
                <w:iCs/>
                <w:color w:val="000000"/>
              </w:rPr>
              <w:t>277</w:t>
            </w:r>
          </w:p>
        </w:tc>
        <w:tc>
          <w:tcPr>
            <w:tcW w:w="2500" w:type="dxa"/>
            <w:hideMark/>
          </w:tcPr>
          <w:p w14:paraId="4CFEB0B6"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 </w:t>
            </w:r>
          </w:p>
        </w:tc>
      </w:tr>
      <w:tr w:rsidR="00D92C44" w:rsidRPr="00CE39CF" w14:paraId="01F197C8" w14:textId="77777777" w:rsidTr="004536F0">
        <w:trPr>
          <w:trHeight w:val="360"/>
        </w:trPr>
        <w:tc>
          <w:tcPr>
            <w:tcW w:w="4120" w:type="dxa"/>
            <w:hideMark/>
          </w:tcPr>
          <w:p w14:paraId="3A01D345" w14:textId="77777777" w:rsidR="00D92C44" w:rsidRPr="00CE39CF" w:rsidRDefault="00D92C44" w:rsidP="00D92C44">
            <w:pPr>
              <w:rPr>
                <w:rFonts w:ascii="Arial" w:eastAsia="Times New Roman" w:hAnsi="Arial" w:cs="Arial"/>
                <w:b/>
                <w:bCs/>
                <w:color w:val="000000"/>
              </w:rPr>
            </w:pPr>
          </w:p>
        </w:tc>
        <w:tc>
          <w:tcPr>
            <w:tcW w:w="1620" w:type="dxa"/>
            <w:hideMark/>
          </w:tcPr>
          <w:p w14:paraId="7312D821" w14:textId="77777777" w:rsidR="00D92C44" w:rsidRPr="00CE39CF" w:rsidRDefault="00D92C44" w:rsidP="00D92C44">
            <w:pPr>
              <w:jc w:val="center"/>
              <w:rPr>
                <w:rFonts w:ascii="Arial" w:eastAsia="Times New Roman" w:hAnsi="Arial" w:cs="Arial"/>
                <w:i/>
                <w:iCs/>
                <w:color w:val="000000"/>
              </w:rPr>
            </w:pPr>
          </w:p>
        </w:tc>
        <w:tc>
          <w:tcPr>
            <w:tcW w:w="2500" w:type="dxa"/>
            <w:hideMark/>
          </w:tcPr>
          <w:p w14:paraId="34FA5091" w14:textId="77777777" w:rsidR="00D92C44" w:rsidRPr="00CE39CF" w:rsidRDefault="00D92C44" w:rsidP="00D92C44">
            <w:pPr>
              <w:jc w:val="center"/>
              <w:rPr>
                <w:rFonts w:ascii="Arial" w:eastAsia="Times New Roman" w:hAnsi="Arial" w:cs="Arial"/>
                <w:color w:val="000000"/>
              </w:rPr>
            </w:pPr>
          </w:p>
        </w:tc>
      </w:tr>
      <w:tr w:rsidR="00D92C44" w:rsidRPr="00CE39CF" w14:paraId="3EF02E08" w14:textId="77777777" w:rsidTr="004536F0">
        <w:trPr>
          <w:trHeight w:val="360"/>
        </w:trPr>
        <w:tc>
          <w:tcPr>
            <w:tcW w:w="4120" w:type="dxa"/>
            <w:hideMark/>
          </w:tcPr>
          <w:p w14:paraId="2C58839D"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 </w:t>
            </w:r>
          </w:p>
        </w:tc>
        <w:tc>
          <w:tcPr>
            <w:tcW w:w="1620" w:type="dxa"/>
            <w:hideMark/>
          </w:tcPr>
          <w:p w14:paraId="5ABDDB1A" w14:textId="77777777" w:rsidR="00D92C44" w:rsidRPr="00CE39CF" w:rsidRDefault="00D92C44" w:rsidP="00D92C44">
            <w:pPr>
              <w:jc w:val="center"/>
              <w:rPr>
                <w:rFonts w:ascii="Arial" w:eastAsia="Times New Roman" w:hAnsi="Arial" w:cs="Arial"/>
                <w:b/>
                <w:bCs/>
                <w:color w:val="000000"/>
              </w:rPr>
            </w:pPr>
            <w:r w:rsidRPr="00CE39CF">
              <w:rPr>
                <w:rFonts w:ascii="Arial" w:eastAsia="Times New Roman" w:hAnsi="Arial" w:cs="Arial"/>
                <w:b/>
                <w:bCs/>
                <w:color w:val="000000"/>
              </w:rPr>
              <w:t>AOR</w:t>
            </w:r>
            <w:r w:rsidRPr="00CE39CF">
              <w:rPr>
                <w:rFonts w:ascii="Arial" w:eastAsia="Times New Roman" w:hAnsi="Arial" w:cs="Arial"/>
                <w:b/>
                <w:bCs/>
                <w:color w:val="000000"/>
                <w:vertAlign w:val="superscript"/>
              </w:rPr>
              <w:t>1</w:t>
            </w:r>
          </w:p>
        </w:tc>
        <w:tc>
          <w:tcPr>
            <w:tcW w:w="2500" w:type="dxa"/>
            <w:hideMark/>
          </w:tcPr>
          <w:p w14:paraId="408B66B6" w14:textId="77777777" w:rsidR="00D92C44" w:rsidRPr="00CE39CF" w:rsidRDefault="00D92C44" w:rsidP="00D92C44">
            <w:pPr>
              <w:jc w:val="center"/>
              <w:rPr>
                <w:rFonts w:ascii="Arial" w:eastAsia="Times New Roman" w:hAnsi="Arial" w:cs="Arial"/>
                <w:b/>
                <w:bCs/>
                <w:color w:val="000000"/>
              </w:rPr>
            </w:pPr>
            <w:r w:rsidRPr="00CE39CF">
              <w:rPr>
                <w:rFonts w:ascii="Arial" w:eastAsia="Times New Roman" w:hAnsi="Arial" w:cs="Arial"/>
                <w:b/>
                <w:bCs/>
                <w:color w:val="000000"/>
              </w:rPr>
              <w:t>95% CI</w:t>
            </w:r>
            <w:r w:rsidRPr="00CE39CF">
              <w:rPr>
                <w:rFonts w:ascii="Arial" w:eastAsia="Times New Roman" w:hAnsi="Arial" w:cs="Arial"/>
                <w:b/>
                <w:bCs/>
                <w:color w:val="000000"/>
                <w:vertAlign w:val="superscript"/>
              </w:rPr>
              <w:t>2</w:t>
            </w:r>
          </w:p>
        </w:tc>
      </w:tr>
      <w:tr w:rsidR="00D92C44" w:rsidRPr="00CE39CF" w14:paraId="1500D997" w14:textId="77777777" w:rsidTr="004536F0">
        <w:trPr>
          <w:trHeight w:val="360"/>
        </w:trPr>
        <w:tc>
          <w:tcPr>
            <w:tcW w:w="4120" w:type="dxa"/>
            <w:hideMark/>
          </w:tcPr>
          <w:p w14:paraId="1F22C18C"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Age in years</w:t>
            </w:r>
          </w:p>
        </w:tc>
        <w:tc>
          <w:tcPr>
            <w:tcW w:w="4120" w:type="dxa"/>
            <w:gridSpan w:val="2"/>
            <w:hideMark/>
          </w:tcPr>
          <w:p w14:paraId="1367ED21" w14:textId="77777777" w:rsidR="00D92C44" w:rsidRPr="00CE39CF" w:rsidRDefault="00D92C44" w:rsidP="00D92C44">
            <w:pPr>
              <w:rPr>
                <w:rFonts w:ascii="Arial" w:eastAsia="Times New Roman" w:hAnsi="Arial" w:cs="Arial"/>
                <w:color w:val="000000"/>
              </w:rPr>
            </w:pPr>
          </w:p>
        </w:tc>
      </w:tr>
      <w:tr w:rsidR="00D92C44" w:rsidRPr="00CE39CF" w14:paraId="24623A6E" w14:textId="77777777" w:rsidTr="004536F0">
        <w:trPr>
          <w:trHeight w:val="360"/>
        </w:trPr>
        <w:tc>
          <w:tcPr>
            <w:tcW w:w="4120" w:type="dxa"/>
            <w:noWrap/>
            <w:hideMark/>
          </w:tcPr>
          <w:p w14:paraId="5CA83E16"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18-39</w:t>
            </w:r>
          </w:p>
        </w:tc>
        <w:tc>
          <w:tcPr>
            <w:tcW w:w="1620" w:type="dxa"/>
            <w:hideMark/>
          </w:tcPr>
          <w:p w14:paraId="3D62AFBA"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Ref</w:t>
            </w:r>
          </w:p>
        </w:tc>
        <w:tc>
          <w:tcPr>
            <w:tcW w:w="2500" w:type="dxa"/>
            <w:hideMark/>
          </w:tcPr>
          <w:p w14:paraId="0DFC5554" w14:textId="77777777" w:rsidR="00D92C44" w:rsidRPr="00CE39CF" w:rsidRDefault="00D92C44" w:rsidP="00D92C44">
            <w:pPr>
              <w:rPr>
                <w:rFonts w:ascii="Arial" w:eastAsia="Times New Roman" w:hAnsi="Arial" w:cs="Arial"/>
                <w:color w:val="000000"/>
              </w:rPr>
            </w:pPr>
          </w:p>
        </w:tc>
      </w:tr>
      <w:tr w:rsidR="00D92C44" w:rsidRPr="00CE39CF" w14:paraId="57F2E814" w14:textId="77777777" w:rsidTr="004536F0">
        <w:trPr>
          <w:trHeight w:val="360"/>
        </w:trPr>
        <w:tc>
          <w:tcPr>
            <w:tcW w:w="4120" w:type="dxa"/>
            <w:noWrap/>
            <w:hideMark/>
          </w:tcPr>
          <w:p w14:paraId="6768494D"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40-64</w:t>
            </w:r>
          </w:p>
        </w:tc>
        <w:tc>
          <w:tcPr>
            <w:tcW w:w="1620" w:type="dxa"/>
            <w:hideMark/>
          </w:tcPr>
          <w:p w14:paraId="26D109C8"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1.01</w:t>
            </w:r>
          </w:p>
        </w:tc>
        <w:tc>
          <w:tcPr>
            <w:tcW w:w="2500" w:type="dxa"/>
            <w:hideMark/>
          </w:tcPr>
          <w:p w14:paraId="3C710C55"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(0.13 - 7.68)</w:t>
            </w:r>
          </w:p>
        </w:tc>
      </w:tr>
      <w:tr w:rsidR="00D92C44" w:rsidRPr="00CE39CF" w14:paraId="731D0884" w14:textId="77777777" w:rsidTr="004536F0">
        <w:trPr>
          <w:trHeight w:val="360"/>
        </w:trPr>
        <w:tc>
          <w:tcPr>
            <w:tcW w:w="4120" w:type="dxa"/>
            <w:noWrap/>
            <w:hideMark/>
          </w:tcPr>
          <w:p w14:paraId="1CBE20E2"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65-84</w:t>
            </w:r>
          </w:p>
        </w:tc>
        <w:tc>
          <w:tcPr>
            <w:tcW w:w="1620" w:type="dxa"/>
            <w:hideMark/>
          </w:tcPr>
          <w:p w14:paraId="45003ADE"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3.93</w:t>
            </w:r>
          </w:p>
        </w:tc>
        <w:tc>
          <w:tcPr>
            <w:tcW w:w="2500" w:type="dxa"/>
            <w:hideMark/>
          </w:tcPr>
          <w:p w14:paraId="34DF3C67"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(0.53 - 28.98)</w:t>
            </w:r>
          </w:p>
        </w:tc>
      </w:tr>
      <w:tr w:rsidR="00D92C44" w:rsidRPr="00CE39CF" w14:paraId="611132DA" w14:textId="77777777" w:rsidTr="004536F0">
        <w:trPr>
          <w:trHeight w:val="360"/>
        </w:trPr>
        <w:tc>
          <w:tcPr>
            <w:tcW w:w="4120" w:type="dxa"/>
            <w:hideMark/>
          </w:tcPr>
          <w:p w14:paraId="3BDCACA2"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85+</w:t>
            </w:r>
          </w:p>
        </w:tc>
        <w:tc>
          <w:tcPr>
            <w:tcW w:w="1620" w:type="dxa"/>
            <w:hideMark/>
          </w:tcPr>
          <w:p w14:paraId="1BD7A649"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4.83</w:t>
            </w:r>
          </w:p>
        </w:tc>
        <w:tc>
          <w:tcPr>
            <w:tcW w:w="2500" w:type="dxa"/>
            <w:hideMark/>
          </w:tcPr>
          <w:p w14:paraId="3B12F36B"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(0.65 - 36.09)</w:t>
            </w:r>
          </w:p>
        </w:tc>
      </w:tr>
      <w:tr w:rsidR="00D92C44" w:rsidRPr="00CE39CF" w14:paraId="11891940" w14:textId="77777777" w:rsidTr="004536F0">
        <w:trPr>
          <w:trHeight w:val="360"/>
        </w:trPr>
        <w:tc>
          <w:tcPr>
            <w:tcW w:w="4120" w:type="dxa"/>
            <w:hideMark/>
          </w:tcPr>
          <w:p w14:paraId="6BD8AD02"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Sex</w:t>
            </w:r>
          </w:p>
        </w:tc>
        <w:tc>
          <w:tcPr>
            <w:tcW w:w="1620" w:type="dxa"/>
            <w:hideMark/>
          </w:tcPr>
          <w:p w14:paraId="7272216E" w14:textId="77777777" w:rsidR="00D92C44" w:rsidRPr="00CE39CF" w:rsidRDefault="00D92C44" w:rsidP="00D92C44">
            <w:pPr>
              <w:rPr>
                <w:rFonts w:ascii="Arial" w:eastAsia="Times New Roman" w:hAnsi="Arial" w:cs="Arial"/>
                <w:color w:val="000000"/>
              </w:rPr>
            </w:pPr>
          </w:p>
        </w:tc>
        <w:tc>
          <w:tcPr>
            <w:tcW w:w="2500" w:type="dxa"/>
            <w:hideMark/>
          </w:tcPr>
          <w:p w14:paraId="1F7974F8" w14:textId="77777777" w:rsidR="00D92C44" w:rsidRPr="00CE39CF" w:rsidRDefault="00D92C44" w:rsidP="00D92C44">
            <w:pPr>
              <w:rPr>
                <w:rFonts w:ascii="Arial" w:eastAsia="Times New Roman" w:hAnsi="Arial" w:cs="Arial"/>
                <w:color w:val="000000"/>
              </w:rPr>
            </w:pPr>
          </w:p>
        </w:tc>
      </w:tr>
      <w:tr w:rsidR="00D92C44" w:rsidRPr="00CE39CF" w14:paraId="6A9A2D7E" w14:textId="77777777" w:rsidTr="004536F0">
        <w:trPr>
          <w:trHeight w:val="360"/>
        </w:trPr>
        <w:tc>
          <w:tcPr>
            <w:tcW w:w="4120" w:type="dxa"/>
            <w:hideMark/>
          </w:tcPr>
          <w:p w14:paraId="539A66D8"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Female</w:t>
            </w:r>
          </w:p>
        </w:tc>
        <w:tc>
          <w:tcPr>
            <w:tcW w:w="1620" w:type="dxa"/>
            <w:hideMark/>
          </w:tcPr>
          <w:p w14:paraId="656847F4"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Ref</w:t>
            </w:r>
          </w:p>
        </w:tc>
        <w:tc>
          <w:tcPr>
            <w:tcW w:w="2500" w:type="dxa"/>
            <w:hideMark/>
          </w:tcPr>
          <w:p w14:paraId="6C9D5386" w14:textId="77777777" w:rsidR="00D92C44" w:rsidRPr="00CE39CF" w:rsidRDefault="00D92C44" w:rsidP="00D92C44">
            <w:pPr>
              <w:rPr>
                <w:rFonts w:ascii="Arial" w:eastAsia="Times New Roman" w:hAnsi="Arial" w:cs="Arial"/>
                <w:color w:val="000000"/>
              </w:rPr>
            </w:pPr>
          </w:p>
        </w:tc>
      </w:tr>
      <w:tr w:rsidR="00D92C44" w:rsidRPr="00CE39CF" w14:paraId="5E41E98F" w14:textId="77777777" w:rsidTr="004536F0">
        <w:trPr>
          <w:trHeight w:val="360"/>
        </w:trPr>
        <w:tc>
          <w:tcPr>
            <w:tcW w:w="4120" w:type="dxa"/>
            <w:hideMark/>
          </w:tcPr>
          <w:p w14:paraId="37D037AE"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Male</w:t>
            </w:r>
          </w:p>
        </w:tc>
        <w:tc>
          <w:tcPr>
            <w:tcW w:w="1620" w:type="dxa"/>
            <w:hideMark/>
          </w:tcPr>
          <w:p w14:paraId="49F4E02F"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1.06</w:t>
            </w:r>
          </w:p>
        </w:tc>
        <w:tc>
          <w:tcPr>
            <w:tcW w:w="2500" w:type="dxa"/>
            <w:hideMark/>
          </w:tcPr>
          <w:p w14:paraId="524939F9"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(0.82 - 1.38)</w:t>
            </w:r>
          </w:p>
        </w:tc>
      </w:tr>
      <w:tr w:rsidR="00D92C44" w:rsidRPr="00CE39CF" w14:paraId="5086714C" w14:textId="77777777" w:rsidTr="004536F0">
        <w:trPr>
          <w:trHeight w:val="360"/>
        </w:trPr>
        <w:tc>
          <w:tcPr>
            <w:tcW w:w="4120" w:type="dxa"/>
            <w:hideMark/>
          </w:tcPr>
          <w:p w14:paraId="21AA0691"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STEMI</w:t>
            </w:r>
            <w:r w:rsidRPr="00CE39CF">
              <w:rPr>
                <w:rFonts w:ascii="Arial" w:eastAsia="Times New Roman" w:hAnsi="Arial" w:cs="Arial"/>
                <w:b/>
                <w:bCs/>
                <w:color w:val="000000"/>
                <w:vertAlign w:val="superscript"/>
              </w:rPr>
              <w:t>3</w:t>
            </w:r>
          </w:p>
        </w:tc>
        <w:tc>
          <w:tcPr>
            <w:tcW w:w="1620" w:type="dxa"/>
            <w:hideMark/>
          </w:tcPr>
          <w:p w14:paraId="12CAA692" w14:textId="77777777" w:rsidR="00D92C44" w:rsidRPr="00CE39CF" w:rsidRDefault="00D92C44" w:rsidP="00D92C44">
            <w:pPr>
              <w:rPr>
                <w:rFonts w:ascii="Arial" w:eastAsia="Times New Roman" w:hAnsi="Arial" w:cs="Arial"/>
                <w:color w:val="000000"/>
              </w:rPr>
            </w:pPr>
          </w:p>
        </w:tc>
        <w:tc>
          <w:tcPr>
            <w:tcW w:w="2500" w:type="dxa"/>
            <w:hideMark/>
          </w:tcPr>
          <w:p w14:paraId="0364E3DE" w14:textId="77777777" w:rsidR="00D92C44" w:rsidRPr="00CE39CF" w:rsidRDefault="00D92C44" w:rsidP="00D92C44">
            <w:pPr>
              <w:rPr>
                <w:rFonts w:ascii="Arial" w:eastAsia="Times New Roman" w:hAnsi="Arial" w:cs="Arial"/>
                <w:color w:val="000000"/>
              </w:rPr>
            </w:pPr>
          </w:p>
        </w:tc>
      </w:tr>
      <w:tr w:rsidR="00D92C44" w:rsidRPr="00CE39CF" w14:paraId="29034D87" w14:textId="77777777" w:rsidTr="004536F0">
        <w:trPr>
          <w:trHeight w:val="360"/>
        </w:trPr>
        <w:tc>
          <w:tcPr>
            <w:tcW w:w="4120" w:type="dxa"/>
            <w:hideMark/>
          </w:tcPr>
          <w:p w14:paraId="50B54C8C"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Absent</w:t>
            </w:r>
          </w:p>
        </w:tc>
        <w:tc>
          <w:tcPr>
            <w:tcW w:w="1620" w:type="dxa"/>
            <w:hideMark/>
          </w:tcPr>
          <w:p w14:paraId="56466BD4"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Ref</w:t>
            </w:r>
          </w:p>
        </w:tc>
        <w:tc>
          <w:tcPr>
            <w:tcW w:w="2500" w:type="dxa"/>
            <w:hideMark/>
          </w:tcPr>
          <w:p w14:paraId="66A37D1A" w14:textId="77777777" w:rsidR="00D92C44" w:rsidRPr="00CE39CF" w:rsidRDefault="00D92C44" w:rsidP="00D92C44">
            <w:pPr>
              <w:rPr>
                <w:rFonts w:ascii="Arial" w:eastAsia="Times New Roman" w:hAnsi="Arial" w:cs="Arial"/>
                <w:color w:val="000000"/>
              </w:rPr>
            </w:pPr>
          </w:p>
        </w:tc>
      </w:tr>
      <w:tr w:rsidR="00D92C44" w:rsidRPr="00CE39CF" w14:paraId="44FFAFC3" w14:textId="77777777" w:rsidTr="004536F0">
        <w:trPr>
          <w:trHeight w:val="360"/>
        </w:trPr>
        <w:tc>
          <w:tcPr>
            <w:tcW w:w="4120" w:type="dxa"/>
            <w:hideMark/>
          </w:tcPr>
          <w:p w14:paraId="7EC1E9EA"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Present</w:t>
            </w:r>
          </w:p>
        </w:tc>
        <w:tc>
          <w:tcPr>
            <w:tcW w:w="1620" w:type="dxa"/>
            <w:hideMark/>
          </w:tcPr>
          <w:p w14:paraId="7037A6D9"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3.75</w:t>
            </w:r>
          </w:p>
        </w:tc>
        <w:tc>
          <w:tcPr>
            <w:tcW w:w="2500" w:type="dxa"/>
            <w:hideMark/>
          </w:tcPr>
          <w:p w14:paraId="2208C1CE"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(2.56 - 5.49)</w:t>
            </w:r>
          </w:p>
        </w:tc>
      </w:tr>
      <w:tr w:rsidR="00D92C44" w:rsidRPr="00CE39CF" w14:paraId="0E60AB3A" w14:textId="77777777" w:rsidTr="004536F0">
        <w:trPr>
          <w:trHeight w:val="360"/>
        </w:trPr>
        <w:tc>
          <w:tcPr>
            <w:tcW w:w="4120" w:type="dxa"/>
            <w:hideMark/>
          </w:tcPr>
          <w:p w14:paraId="2006A0F6"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Troponin I</w:t>
            </w:r>
          </w:p>
        </w:tc>
        <w:tc>
          <w:tcPr>
            <w:tcW w:w="1620" w:type="dxa"/>
            <w:hideMark/>
          </w:tcPr>
          <w:p w14:paraId="3959BE08" w14:textId="77777777" w:rsidR="00D92C44" w:rsidRPr="00CE39CF" w:rsidRDefault="00D92C44" w:rsidP="00D92C44">
            <w:pPr>
              <w:rPr>
                <w:rFonts w:ascii="Arial" w:eastAsia="Times New Roman" w:hAnsi="Arial" w:cs="Arial"/>
                <w:color w:val="000000"/>
              </w:rPr>
            </w:pPr>
          </w:p>
        </w:tc>
        <w:tc>
          <w:tcPr>
            <w:tcW w:w="2500" w:type="dxa"/>
            <w:hideMark/>
          </w:tcPr>
          <w:p w14:paraId="42DC0961" w14:textId="77777777" w:rsidR="00D92C44" w:rsidRPr="00CE39CF" w:rsidRDefault="00D92C44" w:rsidP="00D92C44">
            <w:pPr>
              <w:rPr>
                <w:rFonts w:ascii="Arial" w:eastAsia="Times New Roman" w:hAnsi="Arial" w:cs="Arial"/>
                <w:color w:val="000000"/>
              </w:rPr>
            </w:pPr>
          </w:p>
        </w:tc>
      </w:tr>
      <w:tr w:rsidR="00D92C44" w:rsidRPr="00CE39CF" w14:paraId="43C0E886" w14:textId="77777777" w:rsidTr="004536F0">
        <w:trPr>
          <w:trHeight w:val="360"/>
        </w:trPr>
        <w:tc>
          <w:tcPr>
            <w:tcW w:w="4120" w:type="dxa"/>
            <w:hideMark/>
          </w:tcPr>
          <w:p w14:paraId="2D959382"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≤0.1 ng/ml</w:t>
            </w:r>
          </w:p>
        </w:tc>
        <w:tc>
          <w:tcPr>
            <w:tcW w:w="1620" w:type="dxa"/>
            <w:hideMark/>
          </w:tcPr>
          <w:p w14:paraId="5E48A7FC"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Ref</w:t>
            </w:r>
          </w:p>
        </w:tc>
        <w:tc>
          <w:tcPr>
            <w:tcW w:w="2500" w:type="dxa"/>
            <w:hideMark/>
          </w:tcPr>
          <w:p w14:paraId="24614C82" w14:textId="77777777" w:rsidR="00D92C44" w:rsidRPr="00CE39CF" w:rsidRDefault="00D92C44" w:rsidP="00D92C44">
            <w:pPr>
              <w:rPr>
                <w:rFonts w:ascii="Arial" w:eastAsia="Times New Roman" w:hAnsi="Arial" w:cs="Arial"/>
                <w:color w:val="000000"/>
              </w:rPr>
            </w:pPr>
          </w:p>
        </w:tc>
      </w:tr>
      <w:tr w:rsidR="00D92C44" w:rsidRPr="00CE39CF" w14:paraId="60D70C82" w14:textId="77777777" w:rsidTr="004536F0">
        <w:trPr>
          <w:trHeight w:val="360"/>
        </w:trPr>
        <w:tc>
          <w:tcPr>
            <w:tcW w:w="4120" w:type="dxa"/>
            <w:hideMark/>
          </w:tcPr>
          <w:p w14:paraId="5AA53997"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&gt;0.1 ng/ml</w:t>
            </w:r>
          </w:p>
        </w:tc>
        <w:tc>
          <w:tcPr>
            <w:tcW w:w="1620" w:type="dxa"/>
            <w:hideMark/>
          </w:tcPr>
          <w:p w14:paraId="0F9F38B0"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1.07</w:t>
            </w:r>
          </w:p>
        </w:tc>
        <w:tc>
          <w:tcPr>
            <w:tcW w:w="2500" w:type="dxa"/>
            <w:hideMark/>
          </w:tcPr>
          <w:p w14:paraId="6A4E81D1"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(0.76 - 1.50)</w:t>
            </w:r>
          </w:p>
        </w:tc>
      </w:tr>
      <w:tr w:rsidR="00D92C44" w:rsidRPr="00CE39CF" w14:paraId="5A536329" w14:textId="77777777" w:rsidTr="004536F0">
        <w:trPr>
          <w:trHeight w:val="360"/>
        </w:trPr>
        <w:tc>
          <w:tcPr>
            <w:tcW w:w="4120" w:type="dxa"/>
            <w:hideMark/>
          </w:tcPr>
          <w:p w14:paraId="3507D269"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COPS2</w:t>
            </w:r>
            <w:r w:rsidRPr="00CE39CF">
              <w:rPr>
                <w:rFonts w:ascii="Arial" w:eastAsia="Times New Roman" w:hAnsi="Arial" w:cs="Arial"/>
                <w:b/>
                <w:bCs/>
                <w:color w:val="000000"/>
                <w:vertAlign w:val="superscript"/>
              </w:rPr>
              <w:t>4</w:t>
            </w:r>
            <w:r w:rsidRPr="00CE39CF">
              <w:rPr>
                <w:rFonts w:ascii="Arial" w:eastAsia="Times New Roman" w:hAnsi="Arial" w:cs="Arial"/>
                <w:b/>
                <w:bCs/>
                <w:color w:val="000000"/>
              </w:rPr>
              <w:t xml:space="preserve"> </w:t>
            </w:r>
            <w:r w:rsidRPr="00CE39CF">
              <w:rPr>
                <w:rFonts w:ascii="Arial" w:eastAsia="Times New Roman" w:hAnsi="Arial" w:cs="Arial"/>
                <w:color w:val="000000"/>
              </w:rPr>
              <w:t>(AOR per 10 points)</w:t>
            </w:r>
          </w:p>
        </w:tc>
        <w:tc>
          <w:tcPr>
            <w:tcW w:w="1620" w:type="dxa"/>
            <w:hideMark/>
          </w:tcPr>
          <w:p w14:paraId="081FD14D"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1.04</w:t>
            </w:r>
          </w:p>
        </w:tc>
        <w:tc>
          <w:tcPr>
            <w:tcW w:w="2500" w:type="dxa"/>
            <w:hideMark/>
          </w:tcPr>
          <w:p w14:paraId="47AD3191"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(1.01 - 1.08)</w:t>
            </w:r>
          </w:p>
        </w:tc>
      </w:tr>
      <w:tr w:rsidR="00D92C44" w:rsidRPr="00CE39CF" w14:paraId="4EF58995" w14:textId="77777777" w:rsidTr="004536F0">
        <w:trPr>
          <w:trHeight w:val="360"/>
        </w:trPr>
        <w:tc>
          <w:tcPr>
            <w:tcW w:w="4120" w:type="dxa"/>
            <w:hideMark/>
          </w:tcPr>
          <w:p w14:paraId="4C1013C8"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LAPS2</w:t>
            </w:r>
            <w:r w:rsidRPr="00CE39CF">
              <w:rPr>
                <w:rFonts w:ascii="Arial" w:eastAsia="Times New Roman" w:hAnsi="Arial" w:cs="Arial"/>
                <w:b/>
                <w:bCs/>
                <w:color w:val="000000"/>
                <w:vertAlign w:val="superscript"/>
              </w:rPr>
              <w:t>4</w:t>
            </w:r>
            <w:r w:rsidRPr="00CE39CF">
              <w:rPr>
                <w:rFonts w:ascii="Arial" w:eastAsia="Times New Roman" w:hAnsi="Arial" w:cs="Arial"/>
                <w:b/>
                <w:bCs/>
                <w:color w:val="000000"/>
              </w:rPr>
              <w:t xml:space="preserve"> </w:t>
            </w:r>
            <w:r w:rsidRPr="00CE39CF">
              <w:rPr>
                <w:rFonts w:ascii="Arial" w:eastAsia="Times New Roman" w:hAnsi="Arial" w:cs="Arial"/>
                <w:color w:val="000000"/>
              </w:rPr>
              <w:t>(AOR per 10 points)</w:t>
            </w:r>
          </w:p>
        </w:tc>
        <w:tc>
          <w:tcPr>
            <w:tcW w:w="1620" w:type="dxa"/>
            <w:hideMark/>
          </w:tcPr>
          <w:p w14:paraId="1FD3AB1D"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1.09</w:t>
            </w:r>
          </w:p>
        </w:tc>
        <w:tc>
          <w:tcPr>
            <w:tcW w:w="2500" w:type="dxa"/>
            <w:hideMark/>
          </w:tcPr>
          <w:p w14:paraId="165827A4"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(1.06 - 1.11)</w:t>
            </w:r>
          </w:p>
        </w:tc>
      </w:tr>
      <w:tr w:rsidR="00D92C44" w:rsidRPr="00CE39CF" w14:paraId="11A237FF" w14:textId="77777777" w:rsidTr="004536F0">
        <w:trPr>
          <w:trHeight w:val="360"/>
        </w:trPr>
        <w:tc>
          <w:tcPr>
            <w:tcW w:w="4120" w:type="dxa"/>
            <w:hideMark/>
          </w:tcPr>
          <w:p w14:paraId="3CABEC26"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ED LOS</w:t>
            </w:r>
            <w:r w:rsidRPr="00CE39CF">
              <w:rPr>
                <w:rFonts w:ascii="Arial" w:eastAsia="Times New Roman" w:hAnsi="Arial" w:cs="Arial"/>
                <w:b/>
                <w:bCs/>
                <w:color w:val="000000"/>
                <w:vertAlign w:val="superscript"/>
              </w:rPr>
              <w:t>5</w:t>
            </w:r>
            <w:r w:rsidRPr="00CE39CF">
              <w:rPr>
                <w:rFonts w:ascii="Arial" w:eastAsia="Times New Roman" w:hAnsi="Arial" w:cs="Arial"/>
                <w:color w:val="000000"/>
              </w:rPr>
              <w:t xml:space="preserve"> (hours)</w:t>
            </w:r>
          </w:p>
        </w:tc>
        <w:tc>
          <w:tcPr>
            <w:tcW w:w="1620" w:type="dxa"/>
            <w:hideMark/>
          </w:tcPr>
          <w:p w14:paraId="2A8F5189" w14:textId="77777777" w:rsidR="00D92C44" w:rsidRPr="00CE39CF" w:rsidRDefault="00D92C44" w:rsidP="00D92C44">
            <w:pPr>
              <w:rPr>
                <w:rFonts w:ascii="Arial" w:eastAsia="Times New Roman" w:hAnsi="Arial" w:cs="Arial"/>
                <w:color w:val="000000"/>
              </w:rPr>
            </w:pPr>
          </w:p>
        </w:tc>
        <w:tc>
          <w:tcPr>
            <w:tcW w:w="2500" w:type="dxa"/>
            <w:hideMark/>
          </w:tcPr>
          <w:p w14:paraId="5737C58B" w14:textId="77777777" w:rsidR="00D92C44" w:rsidRPr="00CE39CF" w:rsidRDefault="00D92C44" w:rsidP="00D92C44">
            <w:pPr>
              <w:rPr>
                <w:rFonts w:ascii="Arial" w:eastAsia="Times New Roman" w:hAnsi="Arial" w:cs="Arial"/>
                <w:color w:val="000000"/>
              </w:rPr>
            </w:pPr>
          </w:p>
        </w:tc>
      </w:tr>
      <w:tr w:rsidR="00D92C44" w:rsidRPr="00CE39CF" w14:paraId="69732BBF" w14:textId="77777777" w:rsidTr="004536F0">
        <w:trPr>
          <w:trHeight w:val="360"/>
        </w:trPr>
        <w:tc>
          <w:tcPr>
            <w:tcW w:w="4120" w:type="dxa"/>
            <w:hideMark/>
          </w:tcPr>
          <w:p w14:paraId="174AE497"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&lt;6</w:t>
            </w:r>
          </w:p>
        </w:tc>
        <w:tc>
          <w:tcPr>
            <w:tcW w:w="1620" w:type="dxa"/>
            <w:hideMark/>
          </w:tcPr>
          <w:p w14:paraId="2F303C1D"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Ref</w:t>
            </w:r>
          </w:p>
        </w:tc>
        <w:tc>
          <w:tcPr>
            <w:tcW w:w="2500" w:type="dxa"/>
            <w:hideMark/>
          </w:tcPr>
          <w:p w14:paraId="687EF468" w14:textId="77777777" w:rsidR="00D92C44" w:rsidRPr="00CE39CF" w:rsidRDefault="00D92C44" w:rsidP="00D92C44">
            <w:pPr>
              <w:rPr>
                <w:rFonts w:ascii="Arial" w:eastAsia="Times New Roman" w:hAnsi="Arial" w:cs="Arial"/>
                <w:color w:val="000000"/>
              </w:rPr>
            </w:pPr>
          </w:p>
        </w:tc>
      </w:tr>
      <w:tr w:rsidR="00D92C44" w:rsidRPr="00CE39CF" w14:paraId="05DB4852" w14:textId="77777777" w:rsidTr="004536F0">
        <w:trPr>
          <w:trHeight w:val="360"/>
        </w:trPr>
        <w:tc>
          <w:tcPr>
            <w:tcW w:w="4120" w:type="dxa"/>
            <w:noWrap/>
            <w:hideMark/>
          </w:tcPr>
          <w:p w14:paraId="026222CB"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6-7</w:t>
            </w:r>
          </w:p>
        </w:tc>
        <w:tc>
          <w:tcPr>
            <w:tcW w:w="1620" w:type="dxa"/>
            <w:hideMark/>
          </w:tcPr>
          <w:p w14:paraId="09DD8883"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0.75</w:t>
            </w:r>
          </w:p>
        </w:tc>
        <w:tc>
          <w:tcPr>
            <w:tcW w:w="2500" w:type="dxa"/>
            <w:hideMark/>
          </w:tcPr>
          <w:p w14:paraId="12CAB700"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(0.54 - 1.06)</w:t>
            </w:r>
          </w:p>
        </w:tc>
      </w:tr>
      <w:tr w:rsidR="00D92C44" w:rsidRPr="00CE39CF" w14:paraId="729173A4" w14:textId="77777777" w:rsidTr="004536F0">
        <w:trPr>
          <w:trHeight w:val="360"/>
        </w:trPr>
        <w:tc>
          <w:tcPr>
            <w:tcW w:w="4120" w:type="dxa"/>
            <w:hideMark/>
          </w:tcPr>
          <w:p w14:paraId="48722766"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lastRenderedPageBreak/>
              <w:t>&gt;=12</w:t>
            </w:r>
          </w:p>
        </w:tc>
        <w:tc>
          <w:tcPr>
            <w:tcW w:w="1620" w:type="dxa"/>
            <w:hideMark/>
          </w:tcPr>
          <w:p w14:paraId="5E5E5FB0"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0.82</w:t>
            </w:r>
          </w:p>
        </w:tc>
        <w:tc>
          <w:tcPr>
            <w:tcW w:w="2500" w:type="dxa"/>
            <w:hideMark/>
          </w:tcPr>
          <w:p w14:paraId="6589CD2F"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(0.39 - 1.75)</w:t>
            </w:r>
          </w:p>
        </w:tc>
      </w:tr>
      <w:tr w:rsidR="00D92C44" w:rsidRPr="00CE39CF" w14:paraId="4A3F19BF" w14:textId="77777777" w:rsidTr="004536F0">
        <w:trPr>
          <w:trHeight w:val="360"/>
        </w:trPr>
        <w:tc>
          <w:tcPr>
            <w:tcW w:w="4120" w:type="dxa"/>
            <w:hideMark/>
          </w:tcPr>
          <w:p w14:paraId="510E462D"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Code Status</w:t>
            </w:r>
            <w:r w:rsidRPr="00CE39CF">
              <w:rPr>
                <w:rFonts w:ascii="Arial" w:eastAsia="Times New Roman" w:hAnsi="Arial" w:cs="Arial"/>
                <w:b/>
                <w:bCs/>
                <w:color w:val="000000"/>
                <w:vertAlign w:val="superscript"/>
              </w:rPr>
              <w:t>6</w:t>
            </w:r>
          </w:p>
        </w:tc>
        <w:tc>
          <w:tcPr>
            <w:tcW w:w="1620" w:type="dxa"/>
            <w:hideMark/>
          </w:tcPr>
          <w:p w14:paraId="2BA6FFE5" w14:textId="77777777" w:rsidR="00D92C44" w:rsidRPr="00CE39CF" w:rsidRDefault="00D92C44" w:rsidP="00D92C44">
            <w:pPr>
              <w:jc w:val="center"/>
              <w:rPr>
                <w:rFonts w:ascii="Arial" w:eastAsia="Times New Roman" w:hAnsi="Arial" w:cs="Arial"/>
                <w:color w:val="000000"/>
              </w:rPr>
            </w:pPr>
          </w:p>
        </w:tc>
        <w:tc>
          <w:tcPr>
            <w:tcW w:w="2500" w:type="dxa"/>
            <w:hideMark/>
          </w:tcPr>
          <w:p w14:paraId="40B3BBF9" w14:textId="77777777" w:rsidR="00D92C44" w:rsidRPr="00CE39CF" w:rsidRDefault="00D92C44" w:rsidP="00D92C44">
            <w:pPr>
              <w:jc w:val="center"/>
              <w:rPr>
                <w:rFonts w:ascii="Arial" w:eastAsia="Times New Roman" w:hAnsi="Arial" w:cs="Arial"/>
                <w:color w:val="000000"/>
              </w:rPr>
            </w:pPr>
          </w:p>
        </w:tc>
      </w:tr>
      <w:tr w:rsidR="00D92C44" w:rsidRPr="00CE39CF" w14:paraId="384D75D5" w14:textId="77777777" w:rsidTr="004536F0">
        <w:trPr>
          <w:trHeight w:val="360"/>
        </w:trPr>
        <w:tc>
          <w:tcPr>
            <w:tcW w:w="4120" w:type="dxa"/>
            <w:hideMark/>
          </w:tcPr>
          <w:p w14:paraId="71CB8981"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Full Code</w:t>
            </w:r>
          </w:p>
        </w:tc>
        <w:tc>
          <w:tcPr>
            <w:tcW w:w="1620" w:type="dxa"/>
            <w:hideMark/>
          </w:tcPr>
          <w:p w14:paraId="286700E4"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Ref</w:t>
            </w:r>
          </w:p>
        </w:tc>
        <w:tc>
          <w:tcPr>
            <w:tcW w:w="2500" w:type="dxa"/>
            <w:hideMark/>
          </w:tcPr>
          <w:p w14:paraId="1299FB61" w14:textId="77777777" w:rsidR="00D92C44" w:rsidRPr="00CE39CF" w:rsidRDefault="00D92C44" w:rsidP="00D92C44">
            <w:pPr>
              <w:jc w:val="center"/>
              <w:rPr>
                <w:rFonts w:ascii="Arial" w:eastAsia="Times New Roman" w:hAnsi="Arial" w:cs="Arial"/>
                <w:color w:val="000000"/>
              </w:rPr>
            </w:pPr>
          </w:p>
        </w:tc>
      </w:tr>
      <w:tr w:rsidR="00D92C44" w:rsidRPr="00CE39CF" w14:paraId="371172EA" w14:textId="77777777" w:rsidTr="004536F0">
        <w:trPr>
          <w:trHeight w:val="360"/>
        </w:trPr>
        <w:tc>
          <w:tcPr>
            <w:tcW w:w="4120" w:type="dxa"/>
            <w:hideMark/>
          </w:tcPr>
          <w:p w14:paraId="0EAE2BB2"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Not Full Code</w:t>
            </w:r>
          </w:p>
        </w:tc>
        <w:tc>
          <w:tcPr>
            <w:tcW w:w="1620" w:type="dxa"/>
            <w:hideMark/>
          </w:tcPr>
          <w:p w14:paraId="4ACF11CC"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1.11</w:t>
            </w:r>
          </w:p>
        </w:tc>
        <w:tc>
          <w:tcPr>
            <w:tcW w:w="2500" w:type="dxa"/>
            <w:hideMark/>
          </w:tcPr>
          <w:p w14:paraId="04EA998D"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(0.80 - 1.55)</w:t>
            </w:r>
          </w:p>
        </w:tc>
      </w:tr>
      <w:tr w:rsidR="00D92C44" w:rsidRPr="00CE39CF" w14:paraId="1E3A1939" w14:textId="77777777" w:rsidTr="004536F0">
        <w:trPr>
          <w:trHeight w:val="360"/>
        </w:trPr>
        <w:tc>
          <w:tcPr>
            <w:tcW w:w="4120" w:type="dxa"/>
            <w:hideMark/>
          </w:tcPr>
          <w:p w14:paraId="337259CB"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Cardiac Procedure Referral</w:t>
            </w:r>
          </w:p>
        </w:tc>
        <w:tc>
          <w:tcPr>
            <w:tcW w:w="1620" w:type="dxa"/>
            <w:hideMark/>
          </w:tcPr>
          <w:p w14:paraId="44EB91F8" w14:textId="77777777" w:rsidR="00D92C44" w:rsidRPr="00CE39CF" w:rsidRDefault="00D92C44" w:rsidP="00D92C44">
            <w:pPr>
              <w:jc w:val="center"/>
              <w:rPr>
                <w:rFonts w:ascii="Arial" w:eastAsia="Times New Roman" w:hAnsi="Arial" w:cs="Arial"/>
                <w:color w:val="000000"/>
              </w:rPr>
            </w:pPr>
          </w:p>
        </w:tc>
        <w:tc>
          <w:tcPr>
            <w:tcW w:w="2500" w:type="dxa"/>
            <w:hideMark/>
          </w:tcPr>
          <w:p w14:paraId="1C4BAD0A" w14:textId="77777777" w:rsidR="00D92C44" w:rsidRPr="00CE39CF" w:rsidRDefault="00D92C44" w:rsidP="00D92C44">
            <w:pPr>
              <w:jc w:val="center"/>
              <w:rPr>
                <w:rFonts w:ascii="Arial" w:eastAsia="Times New Roman" w:hAnsi="Arial" w:cs="Arial"/>
                <w:color w:val="000000"/>
              </w:rPr>
            </w:pPr>
          </w:p>
        </w:tc>
      </w:tr>
      <w:tr w:rsidR="00D92C44" w:rsidRPr="00CE39CF" w14:paraId="620AAF21" w14:textId="77777777" w:rsidTr="004536F0">
        <w:trPr>
          <w:trHeight w:val="360"/>
        </w:trPr>
        <w:tc>
          <w:tcPr>
            <w:tcW w:w="4120" w:type="dxa"/>
            <w:hideMark/>
          </w:tcPr>
          <w:p w14:paraId="35E66936"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None during stay</w:t>
            </w:r>
          </w:p>
        </w:tc>
        <w:tc>
          <w:tcPr>
            <w:tcW w:w="1620" w:type="dxa"/>
            <w:hideMark/>
          </w:tcPr>
          <w:p w14:paraId="635F1DB9"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Ref</w:t>
            </w:r>
          </w:p>
        </w:tc>
        <w:tc>
          <w:tcPr>
            <w:tcW w:w="2500" w:type="dxa"/>
            <w:hideMark/>
          </w:tcPr>
          <w:p w14:paraId="53042BA1" w14:textId="77777777" w:rsidR="00D92C44" w:rsidRPr="00CE39CF" w:rsidRDefault="00D92C44" w:rsidP="00D92C44">
            <w:pPr>
              <w:jc w:val="center"/>
              <w:rPr>
                <w:rFonts w:ascii="Arial" w:eastAsia="Times New Roman" w:hAnsi="Arial" w:cs="Arial"/>
                <w:color w:val="000000"/>
              </w:rPr>
            </w:pPr>
          </w:p>
        </w:tc>
      </w:tr>
      <w:tr w:rsidR="00D92C44" w:rsidRPr="00CE39CF" w14:paraId="2C0118A8" w14:textId="77777777" w:rsidTr="004536F0">
        <w:trPr>
          <w:trHeight w:val="360"/>
        </w:trPr>
        <w:tc>
          <w:tcPr>
            <w:tcW w:w="4120" w:type="dxa"/>
            <w:hideMark/>
          </w:tcPr>
          <w:p w14:paraId="4EED778E"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 xml:space="preserve">1 day pre </w:t>
            </w:r>
            <w:proofErr w:type="spellStart"/>
            <w:r w:rsidRPr="00CE39CF">
              <w:rPr>
                <w:rFonts w:ascii="Arial" w:eastAsia="Times New Roman" w:hAnsi="Arial" w:cs="Arial"/>
                <w:color w:val="000000"/>
              </w:rPr>
              <w:t>adm</w:t>
            </w:r>
            <w:proofErr w:type="spellEnd"/>
            <w:r w:rsidRPr="00CE39CF">
              <w:rPr>
                <w:rFonts w:ascii="Arial" w:eastAsia="Times New Roman" w:hAnsi="Arial" w:cs="Arial"/>
                <w:color w:val="000000"/>
              </w:rPr>
              <w:t xml:space="preserve"> until discharge</w:t>
            </w:r>
          </w:p>
        </w:tc>
        <w:tc>
          <w:tcPr>
            <w:tcW w:w="1620" w:type="dxa"/>
            <w:hideMark/>
          </w:tcPr>
          <w:p w14:paraId="07105204"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0.38</w:t>
            </w:r>
          </w:p>
        </w:tc>
        <w:tc>
          <w:tcPr>
            <w:tcW w:w="2500" w:type="dxa"/>
            <w:hideMark/>
          </w:tcPr>
          <w:p w14:paraId="18270540"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(0.28 - 0.53)</w:t>
            </w:r>
          </w:p>
        </w:tc>
      </w:tr>
      <w:tr w:rsidR="00D92C44" w:rsidRPr="00CE39CF" w14:paraId="33E1496C" w14:textId="77777777" w:rsidTr="004536F0">
        <w:trPr>
          <w:trHeight w:val="360"/>
        </w:trPr>
        <w:tc>
          <w:tcPr>
            <w:tcW w:w="4120" w:type="dxa"/>
            <w:hideMark/>
          </w:tcPr>
          <w:p w14:paraId="411BA58B"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Order Set Employed</w:t>
            </w:r>
            <w:r w:rsidRPr="00CE39CF">
              <w:rPr>
                <w:rFonts w:ascii="Arial" w:eastAsia="Times New Roman" w:hAnsi="Arial" w:cs="Arial"/>
                <w:b/>
                <w:bCs/>
                <w:color w:val="000000"/>
                <w:vertAlign w:val="superscript"/>
              </w:rPr>
              <w:t>7</w:t>
            </w:r>
          </w:p>
        </w:tc>
        <w:tc>
          <w:tcPr>
            <w:tcW w:w="1620" w:type="dxa"/>
            <w:hideMark/>
          </w:tcPr>
          <w:p w14:paraId="5CAAAE65" w14:textId="77777777" w:rsidR="00D92C44" w:rsidRPr="00CE39CF" w:rsidRDefault="00D92C44" w:rsidP="00D92C44">
            <w:pPr>
              <w:jc w:val="center"/>
              <w:rPr>
                <w:rFonts w:ascii="Arial" w:eastAsia="Times New Roman" w:hAnsi="Arial" w:cs="Arial"/>
                <w:color w:val="000000"/>
              </w:rPr>
            </w:pPr>
          </w:p>
        </w:tc>
        <w:tc>
          <w:tcPr>
            <w:tcW w:w="2500" w:type="dxa"/>
            <w:hideMark/>
          </w:tcPr>
          <w:p w14:paraId="1AF13DEC" w14:textId="77777777" w:rsidR="00D92C44" w:rsidRPr="00CE39CF" w:rsidRDefault="00D92C44" w:rsidP="00D92C44">
            <w:pPr>
              <w:jc w:val="center"/>
              <w:rPr>
                <w:rFonts w:ascii="Arial" w:eastAsia="Times New Roman" w:hAnsi="Arial" w:cs="Arial"/>
                <w:color w:val="000000"/>
              </w:rPr>
            </w:pPr>
          </w:p>
        </w:tc>
      </w:tr>
      <w:tr w:rsidR="00D92C44" w:rsidRPr="00CE39CF" w14:paraId="4CEB56B0" w14:textId="77777777" w:rsidTr="004536F0">
        <w:trPr>
          <w:trHeight w:val="360"/>
        </w:trPr>
        <w:tc>
          <w:tcPr>
            <w:tcW w:w="4120" w:type="dxa"/>
            <w:hideMark/>
          </w:tcPr>
          <w:p w14:paraId="64CA8109"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No</w:t>
            </w:r>
          </w:p>
        </w:tc>
        <w:tc>
          <w:tcPr>
            <w:tcW w:w="1620" w:type="dxa"/>
            <w:hideMark/>
          </w:tcPr>
          <w:p w14:paraId="47C51714"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Ref</w:t>
            </w:r>
          </w:p>
        </w:tc>
        <w:tc>
          <w:tcPr>
            <w:tcW w:w="2500" w:type="dxa"/>
            <w:hideMark/>
          </w:tcPr>
          <w:p w14:paraId="6F1327D0" w14:textId="77777777" w:rsidR="00D92C44" w:rsidRPr="00CE39CF" w:rsidRDefault="00D92C44" w:rsidP="00D92C44">
            <w:pPr>
              <w:rPr>
                <w:rFonts w:ascii="Arial" w:eastAsia="Times New Roman" w:hAnsi="Arial" w:cs="Arial"/>
                <w:color w:val="000000"/>
              </w:rPr>
            </w:pPr>
          </w:p>
        </w:tc>
      </w:tr>
      <w:tr w:rsidR="00D92C44" w:rsidRPr="00CE39CF" w14:paraId="303E2959" w14:textId="77777777" w:rsidTr="004536F0">
        <w:trPr>
          <w:trHeight w:val="360"/>
        </w:trPr>
        <w:tc>
          <w:tcPr>
            <w:tcW w:w="4120" w:type="dxa"/>
            <w:hideMark/>
          </w:tcPr>
          <w:p w14:paraId="7B698F00" w14:textId="77777777" w:rsidR="00D92C44" w:rsidRPr="00CE39CF" w:rsidRDefault="00D92C44" w:rsidP="00D92C44">
            <w:pPr>
              <w:rPr>
                <w:rFonts w:ascii="Arial" w:eastAsia="Times New Roman" w:hAnsi="Arial" w:cs="Arial"/>
                <w:color w:val="000000"/>
              </w:rPr>
            </w:pPr>
            <w:r w:rsidRPr="00CE39CF">
              <w:rPr>
                <w:rFonts w:ascii="Arial" w:eastAsia="Times New Roman" w:hAnsi="Arial" w:cs="Arial"/>
                <w:color w:val="000000"/>
              </w:rPr>
              <w:t>Yes</w:t>
            </w:r>
          </w:p>
        </w:tc>
        <w:tc>
          <w:tcPr>
            <w:tcW w:w="1620" w:type="dxa"/>
            <w:hideMark/>
          </w:tcPr>
          <w:p w14:paraId="1B9FF6E0"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0.79</w:t>
            </w:r>
          </w:p>
        </w:tc>
        <w:tc>
          <w:tcPr>
            <w:tcW w:w="2500" w:type="dxa"/>
            <w:hideMark/>
          </w:tcPr>
          <w:p w14:paraId="62CEBD39"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(0.60 - 1.04)</w:t>
            </w:r>
          </w:p>
        </w:tc>
      </w:tr>
      <w:tr w:rsidR="00D92C44" w:rsidRPr="00CE39CF" w14:paraId="2D08CFE5" w14:textId="77777777" w:rsidTr="004536F0">
        <w:trPr>
          <w:trHeight w:val="360"/>
        </w:trPr>
        <w:tc>
          <w:tcPr>
            <w:tcW w:w="4120" w:type="dxa"/>
            <w:hideMark/>
          </w:tcPr>
          <w:p w14:paraId="5BC4F58D"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Aspirin Therapy</w:t>
            </w:r>
          </w:p>
        </w:tc>
        <w:tc>
          <w:tcPr>
            <w:tcW w:w="1620" w:type="dxa"/>
            <w:hideMark/>
          </w:tcPr>
          <w:p w14:paraId="2E0D013C"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0.84</w:t>
            </w:r>
          </w:p>
        </w:tc>
        <w:tc>
          <w:tcPr>
            <w:tcW w:w="2500" w:type="dxa"/>
            <w:hideMark/>
          </w:tcPr>
          <w:p w14:paraId="43F51A90"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(0.51 - 1.39)</w:t>
            </w:r>
          </w:p>
        </w:tc>
      </w:tr>
      <w:tr w:rsidR="00D92C44" w:rsidRPr="00CE39CF" w14:paraId="18CC7078" w14:textId="77777777" w:rsidTr="004536F0">
        <w:trPr>
          <w:trHeight w:val="360"/>
        </w:trPr>
        <w:tc>
          <w:tcPr>
            <w:tcW w:w="4120" w:type="dxa"/>
            <w:noWrap/>
            <w:hideMark/>
          </w:tcPr>
          <w:p w14:paraId="461C45E7"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Anticoagulation Therapy</w:t>
            </w:r>
          </w:p>
        </w:tc>
        <w:tc>
          <w:tcPr>
            <w:tcW w:w="1620" w:type="dxa"/>
            <w:hideMark/>
          </w:tcPr>
          <w:p w14:paraId="45B29439"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0.87</w:t>
            </w:r>
          </w:p>
        </w:tc>
        <w:tc>
          <w:tcPr>
            <w:tcW w:w="2500" w:type="dxa"/>
            <w:hideMark/>
          </w:tcPr>
          <w:p w14:paraId="6EED185C"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(0.65 - 1.18)</w:t>
            </w:r>
          </w:p>
        </w:tc>
      </w:tr>
      <w:tr w:rsidR="00D92C44" w:rsidRPr="00CE39CF" w14:paraId="3D90DAE6" w14:textId="77777777" w:rsidTr="004536F0">
        <w:trPr>
          <w:trHeight w:val="360"/>
        </w:trPr>
        <w:tc>
          <w:tcPr>
            <w:tcW w:w="4120" w:type="dxa"/>
            <w:noWrap/>
            <w:hideMark/>
          </w:tcPr>
          <w:p w14:paraId="76036669"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Beta Blocker Therapy</w:t>
            </w:r>
          </w:p>
        </w:tc>
        <w:tc>
          <w:tcPr>
            <w:tcW w:w="1620" w:type="dxa"/>
            <w:hideMark/>
          </w:tcPr>
          <w:p w14:paraId="7B7CBA89"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0.49</w:t>
            </w:r>
          </w:p>
        </w:tc>
        <w:tc>
          <w:tcPr>
            <w:tcW w:w="2500" w:type="dxa"/>
            <w:hideMark/>
          </w:tcPr>
          <w:p w14:paraId="7B0D054A"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(0.37 - 0.66)</w:t>
            </w:r>
          </w:p>
        </w:tc>
      </w:tr>
      <w:tr w:rsidR="00D92C44" w:rsidRPr="00CE39CF" w14:paraId="437AE1FE" w14:textId="77777777" w:rsidTr="004536F0">
        <w:trPr>
          <w:trHeight w:val="360"/>
        </w:trPr>
        <w:tc>
          <w:tcPr>
            <w:tcW w:w="4120" w:type="dxa"/>
            <w:hideMark/>
          </w:tcPr>
          <w:p w14:paraId="792A7C7F"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Statin Therapy</w:t>
            </w:r>
          </w:p>
        </w:tc>
        <w:tc>
          <w:tcPr>
            <w:tcW w:w="1620" w:type="dxa"/>
            <w:hideMark/>
          </w:tcPr>
          <w:p w14:paraId="6DF71742"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0.66</w:t>
            </w:r>
          </w:p>
        </w:tc>
        <w:tc>
          <w:tcPr>
            <w:tcW w:w="2500" w:type="dxa"/>
            <w:hideMark/>
          </w:tcPr>
          <w:p w14:paraId="3B443A3C"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(0.46 - 0.93)</w:t>
            </w:r>
          </w:p>
        </w:tc>
      </w:tr>
      <w:tr w:rsidR="00D92C44" w:rsidRPr="00CE39CF" w14:paraId="5577D222" w14:textId="77777777" w:rsidTr="004536F0">
        <w:trPr>
          <w:trHeight w:val="360"/>
        </w:trPr>
        <w:tc>
          <w:tcPr>
            <w:tcW w:w="4120" w:type="dxa"/>
            <w:noWrap/>
            <w:hideMark/>
          </w:tcPr>
          <w:p w14:paraId="5C3CB114" w14:textId="58E6820F"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ACE</w:t>
            </w:r>
            <w:r w:rsidRPr="00CE39CF">
              <w:rPr>
                <w:rFonts w:ascii="Arial" w:eastAsia="Times New Roman" w:hAnsi="Arial" w:cs="Arial"/>
                <w:b/>
                <w:bCs/>
                <w:color w:val="000000"/>
                <w:vertAlign w:val="superscript"/>
              </w:rPr>
              <w:t>8</w:t>
            </w:r>
            <w:r w:rsidRPr="00CE39CF">
              <w:rPr>
                <w:rFonts w:ascii="Arial" w:eastAsia="Times New Roman" w:hAnsi="Arial" w:cs="Arial"/>
                <w:b/>
                <w:bCs/>
                <w:color w:val="000000"/>
              </w:rPr>
              <w:t xml:space="preserve"> inhibitors or ARB</w:t>
            </w:r>
            <w:r w:rsidRPr="00CE39CF">
              <w:rPr>
                <w:rFonts w:ascii="Arial" w:eastAsia="Times New Roman" w:hAnsi="Arial" w:cs="Arial"/>
                <w:b/>
                <w:bCs/>
                <w:color w:val="000000"/>
                <w:vertAlign w:val="superscript"/>
              </w:rPr>
              <w:t>8</w:t>
            </w:r>
            <w:r w:rsidRPr="00CE39CF">
              <w:rPr>
                <w:rFonts w:ascii="Arial" w:eastAsia="Times New Roman" w:hAnsi="Arial" w:cs="Arial"/>
                <w:b/>
                <w:bCs/>
                <w:color w:val="000000"/>
              </w:rPr>
              <w:t>s</w:t>
            </w:r>
          </w:p>
        </w:tc>
        <w:tc>
          <w:tcPr>
            <w:tcW w:w="1620" w:type="dxa"/>
            <w:hideMark/>
          </w:tcPr>
          <w:p w14:paraId="1F622402"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0.41</w:t>
            </w:r>
          </w:p>
        </w:tc>
        <w:tc>
          <w:tcPr>
            <w:tcW w:w="2500" w:type="dxa"/>
            <w:hideMark/>
          </w:tcPr>
          <w:p w14:paraId="130C2F1B"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(0.31 - 0.54)</w:t>
            </w:r>
          </w:p>
        </w:tc>
      </w:tr>
      <w:tr w:rsidR="00D92C44" w:rsidRPr="00CE39CF" w14:paraId="55238C6D" w14:textId="77777777" w:rsidTr="004536F0">
        <w:trPr>
          <w:trHeight w:val="360"/>
        </w:trPr>
        <w:tc>
          <w:tcPr>
            <w:tcW w:w="4120" w:type="dxa"/>
            <w:hideMark/>
          </w:tcPr>
          <w:p w14:paraId="70C54C73" w14:textId="77777777" w:rsidR="00D92C44" w:rsidRPr="00CE39CF" w:rsidRDefault="00D92C44" w:rsidP="00D92C44">
            <w:pPr>
              <w:rPr>
                <w:rFonts w:ascii="Arial" w:eastAsia="Times New Roman" w:hAnsi="Arial" w:cs="Arial"/>
                <w:b/>
                <w:bCs/>
                <w:color w:val="000000"/>
              </w:rPr>
            </w:pPr>
            <w:r w:rsidRPr="00CE39CF">
              <w:rPr>
                <w:rFonts w:ascii="Arial" w:eastAsia="Times New Roman" w:hAnsi="Arial" w:cs="Arial"/>
                <w:b/>
                <w:bCs/>
                <w:color w:val="000000"/>
              </w:rPr>
              <w:t>C Statistic</w:t>
            </w:r>
          </w:p>
        </w:tc>
        <w:tc>
          <w:tcPr>
            <w:tcW w:w="1620" w:type="dxa"/>
            <w:hideMark/>
          </w:tcPr>
          <w:p w14:paraId="5C12B968"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0.823</w:t>
            </w:r>
          </w:p>
        </w:tc>
        <w:tc>
          <w:tcPr>
            <w:tcW w:w="2500" w:type="dxa"/>
            <w:hideMark/>
          </w:tcPr>
          <w:p w14:paraId="555FBEB2" w14:textId="77777777" w:rsidR="00D92C44" w:rsidRPr="00CE39CF" w:rsidRDefault="00D92C44" w:rsidP="00D92C44">
            <w:pPr>
              <w:jc w:val="center"/>
              <w:rPr>
                <w:rFonts w:ascii="Arial" w:eastAsia="Times New Roman" w:hAnsi="Arial" w:cs="Arial"/>
                <w:color w:val="000000"/>
              </w:rPr>
            </w:pPr>
          </w:p>
        </w:tc>
      </w:tr>
      <w:tr w:rsidR="00D92C44" w:rsidRPr="00CE39CF" w14:paraId="51E113A5" w14:textId="77777777" w:rsidTr="004536F0">
        <w:trPr>
          <w:trHeight w:val="360"/>
        </w:trPr>
        <w:tc>
          <w:tcPr>
            <w:tcW w:w="4120" w:type="dxa"/>
            <w:hideMark/>
          </w:tcPr>
          <w:p w14:paraId="4FCF22AA" w14:textId="77777777" w:rsidR="00D92C44" w:rsidRPr="00CE39CF" w:rsidRDefault="00D92C44" w:rsidP="00D92C44">
            <w:pPr>
              <w:rPr>
                <w:rFonts w:ascii="Arial" w:eastAsia="Times New Roman" w:hAnsi="Arial" w:cs="Arial"/>
                <w:b/>
                <w:bCs/>
                <w:color w:val="000000"/>
              </w:rPr>
            </w:pPr>
            <w:proofErr w:type="spellStart"/>
            <w:r w:rsidRPr="00CE39CF">
              <w:rPr>
                <w:rFonts w:ascii="Arial" w:eastAsia="Times New Roman" w:hAnsi="Arial" w:cs="Arial"/>
                <w:b/>
                <w:bCs/>
                <w:color w:val="000000"/>
              </w:rPr>
              <w:t>Hosmer-Lemeshow</w:t>
            </w:r>
            <w:proofErr w:type="spellEnd"/>
            <w:r w:rsidRPr="00CE39CF">
              <w:rPr>
                <w:rFonts w:ascii="Arial" w:eastAsia="Times New Roman" w:hAnsi="Arial" w:cs="Arial"/>
                <w:b/>
                <w:bCs/>
                <w:color w:val="000000"/>
              </w:rPr>
              <w:t xml:space="preserve"> p value</w:t>
            </w:r>
          </w:p>
        </w:tc>
        <w:tc>
          <w:tcPr>
            <w:tcW w:w="1620" w:type="dxa"/>
            <w:hideMark/>
          </w:tcPr>
          <w:p w14:paraId="5871B144"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0.492</w:t>
            </w:r>
          </w:p>
        </w:tc>
        <w:tc>
          <w:tcPr>
            <w:tcW w:w="2500" w:type="dxa"/>
            <w:hideMark/>
          </w:tcPr>
          <w:p w14:paraId="1CAA71EB" w14:textId="77777777" w:rsidR="00D92C44" w:rsidRPr="00CE39CF" w:rsidRDefault="00D92C44" w:rsidP="00D92C44">
            <w:pPr>
              <w:jc w:val="center"/>
              <w:rPr>
                <w:rFonts w:ascii="Arial" w:eastAsia="Times New Roman" w:hAnsi="Arial" w:cs="Arial"/>
                <w:color w:val="000000"/>
              </w:rPr>
            </w:pPr>
            <w:r w:rsidRPr="00CE39CF">
              <w:rPr>
                <w:rFonts w:ascii="Arial" w:eastAsia="Times New Roman" w:hAnsi="Arial" w:cs="Arial"/>
                <w:color w:val="000000"/>
              </w:rPr>
              <w:t> </w:t>
            </w:r>
          </w:p>
        </w:tc>
      </w:tr>
    </w:tbl>
    <w:p w14:paraId="413A757E" w14:textId="77777777" w:rsidR="00EF3085" w:rsidRDefault="00EF3085" w:rsidP="00D92C44">
      <w:pPr>
        <w:spacing w:after="0" w:line="240" w:lineRule="auto"/>
        <w:rPr>
          <w:rFonts w:ascii="Arial" w:hAnsi="Arial" w:cs="Arial"/>
        </w:rPr>
      </w:pPr>
    </w:p>
    <w:p w14:paraId="7F84C887" w14:textId="03A37438" w:rsidR="00D92C44" w:rsidRPr="00CE39CF" w:rsidRDefault="00D92C44" w:rsidP="00D92C44">
      <w:pPr>
        <w:spacing w:after="0" w:line="240" w:lineRule="auto"/>
        <w:rPr>
          <w:rFonts w:ascii="Arial" w:hAnsi="Arial" w:cs="Arial"/>
        </w:rPr>
      </w:pPr>
      <w:r w:rsidRPr="00CE39CF">
        <w:rPr>
          <w:rFonts w:ascii="Arial" w:hAnsi="Arial" w:cs="Arial"/>
        </w:rPr>
        <w:t xml:space="preserve">Footnotes to </w:t>
      </w:r>
      <w:r w:rsidR="00CE39CF" w:rsidRPr="00CE39CF">
        <w:rPr>
          <w:rFonts w:ascii="Arial" w:hAnsi="Arial" w:cs="Arial"/>
        </w:rPr>
        <w:t>APPENDIX 3</w:t>
      </w:r>
    </w:p>
    <w:p w14:paraId="240DE8B8" w14:textId="77777777" w:rsidR="00D92C44" w:rsidRPr="00CE39CF" w:rsidRDefault="00D92C44" w:rsidP="00D92C44">
      <w:pPr>
        <w:spacing w:after="0" w:line="240" w:lineRule="auto"/>
        <w:rPr>
          <w:rFonts w:ascii="Arial" w:hAnsi="Arial" w:cs="Arial"/>
        </w:rPr>
      </w:pPr>
    </w:p>
    <w:p w14:paraId="44A5901E" w14:textId="77777777" w:rsidR="00D92C44" w:rsidRPr="00CE39CF" w:rsidRDefault="00D92C44" w:rsidP="00D92C44">
      <w:pPr>
        <w:spacing w:after="0" w:line="240" w:lineRule="auto"/>
        <w:rPr>
          <w:rFonts w:ascii="Arial" w:hAnsi="Arial" w:cs="Arial"/>
        </w:rPr>
      </w:pPr>
    </w:p>
    <w:p w14:paraId="1E96AE5C" w14:textId="77777777" w:rsidR="00D92C44" w:rsidRPr="00CE39CF" w:rsidRDefault="00D92C44" w:rsidP="00D92C44">
      <w:pPr>
        <w:spacing w:after="0" w:line="240" w:lineRule="auto"/>
        <w:rPr>
          <w:rFonts w:ascii="Arial" w:hAnsi="Arial" w:cs="Arial"/>
        </w:rPr>
      </w:pPr>
      <w:r w:rsidRPr="00CE39CF">
        <w:rPr>
          <w:rFonts w:ascii="Arial" w:hAnsi="Arial" w:cs="Arial"/>
        </w:rPr>
        <w:t>1</w:t>
      </w:r>
      <w:r w:rsidRPr="00CE39CF">
        <w:rPr>
          <w:rFonts w:ascii="Arial" w:hAnsi="Arial" w:cs="Arial"/>
        </w:rPr>
        <w:tab/>
        <w:t>Adjusted odds ratio</w:t>
      </w:r>
    </w:p>
    <w:p w14:paraId="15ABC2A3" w14:textId="77777777" w:rsidR="00D92C44" w:rsidRPr="00CE39CF" w:rsidRDefault="00D92C44" w:rsidP="00D92C44">
      <w:pPr>
        <w:spacing w:after="0" w:line="240" w:lineRule="auto"/>
        <w:rPr>
          <w:rFonts w:ascii="Arial" w:hAnsi="Arial" w:cs="Arial"/>
        </w:rPr>
      </w:pPr>
    </w:p>
    <w:p w14:paraId="79569811" w14:textId="77777777" w:rsidR="00D92C44" w:rsidRPr="00CE39CF" w:rsidRDefault="00D92C44" w:rsidP="00D92C44">
      <w:pPr>
        <w:spacing w:after="0" w:line="240" w:lineRule="auto"/>
        <w:rPr>
          <w:rFonts w:ascii="Arial" w:hAnsi="Arial" w:cs="Arial"/>
        </w:rPr>
      </w:pPr>
      <w:r w:rsidRPr="00CE39CF">
        <w:rPr>
          <w:rFonts w:ascii="Arial" w:hAnsi="Arial" w:cs="Arial"/>
        </w:rPr>
        <w:t>2</w:t>
      </w:r>
      <w:r w:rsidRPr="00CE39CF">
        <w:rPr>
          <w:rFonts w:ascii="Arial" w:hAnsi="Arial" w:cs="Arial"/>
        </w:rPr>
        <w:tab/>
        <w:t>95% confidence interval</w:t>
      </w:r>
    </w:p>
    <w:p w14:paraId="0A14AE81" w14:textId="77777777" w:rsidR="00D92C44" w:rsidRPr="00CE39CF" w:rsidRDefault="00D92C44" w:rsidP="00D92C44">
      <w:pPr>
        <w:spacing w:after="0" w:line="240" w:lineRule="auto"/>
        <w:rPr>
          <w:rFonts w:ascii="Arial" w:hAnsi="Arial" w:cs="Arial"/>
        </w:rPr>
      </w:pPr>
    </w:p>
    <w:p w14:paraId="567734BF" w14:textId="77777777" w:rsidR="00D92C44" w:rsidRPr="00CE39CF" w:rsidRDefault="00D92C44" w:rsidP="00D92C44">
      <w:pPr>
        <w:spacing w:after="0" w:line="240" w:lineRule="auto"/>
        <w:rPr>
          <w:rFonts w:ascii="Arial" w:hAnsi="Arial" w:cs="Arial"/>
        </w:rPr>
      </w:pPr>
      <w:r w:rsidRPr="00CE39CF">
        <w:rPr>
          <w:rFonts w:ascii="Arial" w:hAnsi="Arial" w:cs="Arial"/>
        </w:rPr>
        <w:t>3</w:t>
      </w:r>
      <w:r w:rsidRPr="00CE39CF">
        <w:rPr>
          <w:rFonts w:ascii="Arial" w:hAnsi="Arial" w:cs="Arial"/>
        </w:rPr>
        <w:tab/>
        <w:t>ST-segment elevation myocardial infarction present</w:t>
      </w:r>
    </w:p>
    <w:p w14:paraId="362F71D5" w14:textId="77777777" w:rsidR="00D92C44" w:rsidRPr="00CE39CF" w:rsidRDefault="00D92C44" w:rsidP="00D92C44">
      <w:pPr>
        <w:spacing w:after="0" w:line="240" w:lineRule="auto"/>
        <w:rPr>
          <w:rFonts w:ascii="Arial" w:hAnsi="Arial" w:cs="Arial"/>
        </w:rPr>
      </w:pPr>
    </w:p>
    <w:p w14:paraId="552EC82D" w14:textId="77777777" w:rsidR="00D92C44" w:rsidRPr="00CE39CF" w:rsidRDefault="00D92C44" w:rsidP="00D92C44">
      <w:pPr>
        <w:spacing w:after="0" w:line="240" w:lineRule="auto"/>
        <w:ind w:left="720" w:hanging="720"/>
        <w:rPr>
          <w:rFonts w:ascii="Arial" w:hAnsi="Arial" w:cs="Arial"/>
        </w:rPr>
      </w:pPr>
      <w:r w:rsidRPr="00CE39CF">
        <w:rPr>
          <w:rFonts w:ascii="Arial" w:hAnsi="Arial" w:cs="Arial"/>
        </w:rPr>
        <w:t>4</w:t>
      </w:r>
      <w:r w:rsidRPr="00CE39CF">
        <w:rPr>
          <w:rFonts w:ascii="Arial" w:hAnsi="Arial" w:cs="Arial"/>
        </w:rPr>
        <w:tab/>
        <w:t xml:space="preserve">See text and preceding table for details on </w:t>
      </w:r>
      <w:proofErr w:type="spellStart"/>
      <w:r w:rsidRPr="00CE39CF">
        <w:rPr>
          <w:rFonts w:ascii="Arial" w:hAnsi="Arial" w:cs="Arial"/>
        </w:rPr>
        <w:t>COmorbidity</w:t>
      </w:r>
      <w:proofErr w:type="spellEnd"/>
      <w:r w:rsidRPr="00CE39CF">
        <w:rPr>
          <w:rFonts w:ascii="Arial" w:hAnsi="Arial" w:cs="Arial"/>
        </w:rPr>
        <w:t xml:space="preserve"> Point Score, version 2 and Laboratory Acute Physiology Score, version 2.</w:t>
      </w:r>
    </w:p>
    <w:p w14:paraId="7EC25157" w14:textId="77777777" w:rsidR="00D92C44" w:rsidRPr="00CE39CF" w:rsidRDefault="00D92C44" w:rsidP="00D92C44">
      <w:pPr>
        <w:spacing w:after="0" w:line="240" w:lineRule="auto"/>
        <w:ind w:left="720" w:hanging="720"/>
        <w:rPr>
          <w:rFonts w:ascii="Arial" w:hAnsi="Arial" w:cs="Arial"/>
        </w:rPr>
      </w:pPr>
    </w:p>
    <w:p w14:paraId="7FB7857D" w14:textId="77777777" w:rsidR="00D92C44" w:rsidRPr="00CE39CF" w:rsidRDefault="00D92C44" w:rsidP="00D92C44">
      <w:pPr>
        <w:spacing w:after="0" w:line="240" w:lineRule="auto"/>
        <w:rPr>
          <w:rFonts w:ascii="Arial" w:hAnsi="Arial" w:cs="Arial"/>
        </w:rPr>
      </w:pPr>
      <w:r w:rsidRPr="00CE39CF">
        <w:rPr>
          <w:rFonts w:ascii="Arial" w:hAnsi="Arial" w:cs="Arial"/>
        </w:rPr>
        <w:t>5</w:t>
      </w:r>
      <w:r w:rsidRPr="00CE39CF">
        <w:rPr>
          <w:rFonts w:ascii="Arial" w:hAnsi="Arial" w:cs="Arial"/>
        </w:rPr>
        <w:tab/>
        <w:t>Emergency department length of stay</w:t>
      </w:r>
    </w:p>
    <w:p w14:paraId="3E891B99" w14:textId="77777777" w:rsidR="00D92C44" w:rsidRPr="00CE39CF" w:rsidRDefault="00D92C44" w:rsidP="00D92C44">
      <w:pPr>
        <w:spacing w:after="0" w:line="240" w:lineRule="auto"/>
        <w:rPr>
          <w:rFonts w:ascii="Arial" w:hAnsi="Arial" w:cs="Arial"/>
        </w:rPr>
      </w:pPr>
    </w:p>
    <w:p w14:paraId="2CF49AEB" w14:textId="77777777" w:rsidR="00D92C44" w:rsidRPr="00CE39CF" w:rsidRDefault="00D92C44" w:rsidP="00D92C44">
      <w:pPr>
        <w:spacing w:after="0" w:line="240" w:lineRule="auto"/>
        <w:rPr>
          <w:rFonts w:ascii="Arial" w:hAnsi="Arial" w:cs="Arial"/>
        </w:rPr>
      </w:pPr>
      <w:r w:rsidRPr="00CE39CF">
        <w:rPr>
          <w:rFonts w:ascii="Arial" w:hAnsi="Arial" w:cs="Arial"/>
        </w:rPr>
        <w:t>6</w:t>
      </w:r>
      <w:r w:rsidRPr="00CE39CF">
        <w:rPr>
          <w:rFonts w:ascii="Arial" w:hAnsi="Arial" w:cs="Arial"/>
        </w:rPr>
        <w:tab/>
        <w:t>See text for details on how care directives were categorized.</w:t>
      </w:r>
    </w:p>
    <w:p w14:paraId="3EE7F726" w14:textId="77777777" w:rsidR="00D92C44" w:rsidRPr="00CE39CF" w:rsidRDefault="00D92C44" w:rsidP="00D92C44">
      <w:pPr>
        <w:spacing w:after="0" w:line="240" w:lineRule="auto"/>
        <w:rPr>
          <w:rFonts w:ascii="Arial" w:hAnsi="Arial" w:cs="Arial"/>
        </w:rPr>
      </w:pPr>
    </w:p>
    <w:p w14:paraId="1603D3F0" w14:textId="53CECE53" w:rsidR="00D92C44" w:rsidRPr="00CE39CF" w:rsidRDefault="00D92C44" w:rsidP="00D92C44">
      <w:pPr>
        <w:spacing w:after="0" w:line="240" w:lineRule="auto"/>
        <w:rPr>
          <w:rFonts w:ascii="Arial" w:hAnsi="Arial" w:cs="Arial"/>
        </w:rPr>
      </w:pPr>
      <w:r w:rsidRPr="00CE39CF">
        <w:rPr>
          <w:rFonts w:ascii="Arial" w:hAnsi="Arial" w:cs="Arial"/>
        </w:rPr>
        <w:t>7</w:t>
      </w:r>
      <w:r w:rsidRPr="00CE39CF">
        <w:rPr>
          <w:rFonts w:ascii="Arial" w:hAnsi="Arial" w:cs="Arial"/>
        </w:rPr>
        <w:tab/>
        <w:t>See text for details on order set</w:t>
      </w:r>
    </w:p>
    <w:p w14:paraId="2BE65D81" w14:textId="77777777" w:rsidR="00D92C44" w:rsidRPr="00CE39CF" w:rsidRDefault="00D92C44" w:rsidP="00D92C44">
      <w:pPr>
        <w:spacing w:after="0" w:line="240" w:lineRule="auto"/>
        <w:rPr>
          <w:rFonts w:ascii="Arial" w:hAnsi="Arial" w:cs="Arial"/>
        </w:rPr>
      </w:pPr>
    </w:p>
    <w:p w14:paraId="6401351C" w14:textId="281A5A38" w:rsidR="00D92C44" w:rsidRPr="00CE39CF" w:rsidRDefault="00D92C44" w:rsidP="00D92C44">
      <w:pPr>
        <w:spacing w:after="0" w:line="240" w:lineRule="auto"/>
        <w:rPr>
          <w:rFonts w:ascii="Arial" w:hAnsi="Arial" w:cs="Arial"/>
        </w:rPr>
      </w:pPr>
      <w:r w:rsidRPr="00CE39CF">
        <w:rPr>
          <w:rFonts w:ascii="Arial" w:hAnsi="Arial" w:cs="Arial"/>
        </w:rPr>
        <w:t>8</w:t>
      </w:r>
      <w:r w:rsidRPr="00CE39CF">
        <w:rPr>
          <w:rFonts w:ascii="Arial" w:hAnsi="Arial" w:cs="Arial"/>
        </w:rPr>
        <w:tab/>
        <w:t>ACE = angiotensin converting enzyme; ARB = angiotensin receptor blockers.</w:t>
      </w:r>
    </w:p>
    <w:p w14:paraId="531D2947" w14:textId="77777777" w:rsidR="00D92C44" w:rsidRPr="00CE39CF" w:rsidRDefault="00D92C44" w:rsidP="007A6D88">
      <w:pPr>
        <w:pStyle w:val="NoSpacing"/>
        <w:rPr>
          <w:rFonts w:ascii="Arial" w:hAnsi="Arial" w:cs="Arial"/>
        </w:rPr>
      </w:pPr>
    </w:p>
    <w:p w14:paraId="23DDBDCA" w14:textId="77777777" w:rsidR="00D92C44" w:rsidRDefault="00D92C44" w:rsidP="007A6D88">
      <w:pPr>
        <w:pStyle w:val="NoSpacing"/>
        <w:rPr>
          <w:rFonts w:ascii="Arial" w:hAnsi="Arial" w:cs="Arial"/>
        </w:rPr>
      </w:pPr>
    </w:p>
    <w:p w14:paraId="7B2B6382" w14:textId="77777777" w:rsidR="00CE39CF" w:rsidRDefault="00CE39CF" w:rsidP="007A6D88">
      <w:pPr>
        <w:pStyle w:val="NoSpacing"/>
        <w:rPr>
          <w:rFonts w:ascii="Arial" w:hAnsi="Arial" w:cs="Arial"/>
        </w:rPr>
      </w:pPr>
    </w:p>
    <w:p w14:paraId="4A957AE5" w14:textId="77777777" w:rsidR="00CE39CF" w:rsidRDefault="00CE39CF" w:rsidP="007A6D88">
      <w:pPr>
        <w:pStyle w:val="NoSpacing"/>
        <w:rPr>
          <w:rFonts w:ascii="Arial" w:hAnsi="Arial" w:cs="Arial"/>
        </w:rPr>
      </w:pPr>
    </w:p>
    <w:p w14:paraId="63988904" w14:textId="77777777" w:rsidR="00CE39CF" w:rsidRDefault="00CE39CF" w:rsidP="007A6D88">
      <w:pPr>
        <w:pStyle w:val="NoSpacing"/>
        <w:rPr>
          <w:rFonts w:ascii="Arial" w:hAnsi="Arial" w:cs="Arial"/>
        </w:rPr>
      </w:pPr>
    </w:p>
    <w:p w14:paraId="6DCD58E2" w14:textId="77777777" w:rsidR="00CE39CF" w:rsidRDefault="00CE39CF" w:rsidP="007A6D88">
      <w:pPr>
        <w:pStyle w:val="NoSpacing"/>
        <w:rPr>
          <w:rFonts w:ascii="Arial" w:hAnsi="Arial" w:cs="Arial"/>
        </w:rPr>
      </w:pPr>
    </w:p>
    <w:p w14:paraId="79D7CEA8" w14:textId="77777777" w:rsidR="00CE39CF" w:rsidRDefault="00CE39CF" w:rsidP="007A6D88">
      <w:pPr>
        <w:pStyle w:val="NoSpacing"/>
        <w:rPr>
          <w:rFonts w:ascii="Arial" w:hAnsi="Arial" w:cs="Arial"/>
        </w:rPr>
      </w:pPr>
    </w:p>
    <w:p w14:paraId="67200D46" w14:textId="77777777" w:rsidR="00CE39CF" w:rsidRDefault="00CE39CF" w:rsidP="007A6D88">
      <w:pPr>
        <w:pStyle w:val="NoSpacing"/>
        <w:rPr>
          <w:rFonts w:ascii="Arial" w:hAnsi="Arial" w:cs="Arial"/>
        </w:rPr>
      </w:pPr>
    </w:p>
    <w:p w14:paraId="53AA1537" w14:textId="77777777" w:rsidR="00CE39CF" w:rsidRDefault="00CE39CF" w:rsidP="007A6D88">
      <w:pPr>
        <w:pStyle w:val="NoSpacing"/>
        <w:rPr>
          <w:rFonts w:ascii="Arial" w:hAnsi="Arial" w:cs="Arial"/>
        </w:rPr>
      </w:pPr>
    </w:p>
    <w:p w14:paraId="3EFCB034" w14:textId="77777777" w:rsidR="00CE39CF" w:rsidRDefault="00CE39CF" w:rsidP="007A6D88">
      <w:pPr>
        <w:pStyle w:val="NoSpacing"/>
        <w:rPr>
          <w:rFonts w:ascii="Arial" w:hAnsi="Arial" w:cs="Arial"/>
        </w:rPr>
      </w:pPr>
    </w:p>
    <w:p w14:paraId="7F0090D4" w14:textId="77777777" w:rsidR="00CE39CF" w:rsidRDefault="00CE39CF" w:rsidP="007A6D88">
      <w:pPr>
        <w:pStyle w:val="NoSpacing"/>
        <w:rPr>
          <w:rFonts w:ascii="Arial" w:hAnsi="Arial" w:cs="Arial"/>
        </w:rPr>
      </w:pPr>
    </w:p>
    <w:p w14:paraId="53C12254" w14:textId="77777777" w:rsidR="00CE39CF" w:rsidRDefault="00CE39CF" w:rsidP="007A6D88">
      <w:pPr>
        <w:pStyle w:val="NoSpacing"/>
        <w:rPr>
          <w:rFonts w:ascii="Arial" w:hAnsi="Arial" w:cs="Arial"/>
        </w:rPr>
      </w:pPr>
    </w:p>
    <w:p w14:paraId="334EE062" w14:textId="77777777" w:rsidR="00CE39CF" w:rsidRDefault="00CE39CF" w:rsidP="007A6D88">
      <w:pPr>
        <w:pStyle w:val="NoSpacing"/>
        <w:rPr>
          <w:rFonts w:ascii="Arial" w:hAnsi="Arial" w:cs="Arial"/>
        </w:rPr>
      </w:pPr>
    </w:p>
    <w:p w14:paraId="7402F0B5" w14:textId="77777777" w:rsidR="00CE39CF" w:rsidRDefault="00CE39CF" w:rsidP="007A6D88">
      <w:pPr>
        <w:pStyle w:val="NoSpacing"/>
        <w:rPr>
          <w:rFonts w:ascii="Arial" w:hAnsi="Arial" w:cs="Arial"/>
        </w:rPr>
      </w:pPr>
    </w:p>
    <w:p w14:paraId="2FD9392E" w14:textId="77777777" w:rsidR="00CE39CF" w:rsidRDefault="00CE39CF" w:rsidP="007A6D88">
      <w:pPr>
        <w:pStyle w:val="NoSpacing"/>
        <w:rPr>
          <w:rFonts w:ascii="Arial" w:hAnsi="Arial" w:cs="Arial"/>
        </w:rPr>
      </w:pPr>
    </w:p>
    <w:p w14:paraId="3B736311" w14:textId="77777777" w:rsidR="00CE39CF" w:rsidRDefault="00CE39CF" w:rsidP="007A6D88">
      <w:pPr>
        <w:pStyle w:val="NoSpacing"/>
        <w:rPr>
          <w:rFonts w:ascii="Arial" w:hAnsi="Arial" w:cs="Arial"/>
        </w:rPr>
      </w:pPr>
    </w:p>
    <w:p w14:paraId="54AC5658" w14:textId="77777777" w:rsidR="00CE39CF" w:rsidRDefault="00CE39CF" w:rsidP="007A6D88">
      <w:pPr>
        <w:pStyle w:val="NoSpacing"/>
        <w:rPr>
          <w:rFonts w:ascii="Arial" w:hAnsi="Arial" w:cs="Arial"/>
        </w:rPr>
      </w:pPr>
    </w:p>
    <w:p w14:paraId="72795FA2" w14:textId="77777777" w:rsidR="00CE39CF" w:rsidRDefault="00CE39CF" w:rsidP="007A6D88">
      <w:pPr>
        <w:pStyle w:val="NoSpacing"/>
        <w:rPr>
          <w:rFonts w:ascii="Arial" w:hAnsi="Arial" w:cs="Arial"/>
        </w:rPr>
      </w:pPr>
    </w:p>
    <w:p w14:paraId="3556B8BF" w14:textId="77777777" w:rsidR="00CE39CF" w:rsidRDefault="00CE39CF" w:rsidP="007A6D88">
      <w:pPr>
        <w:pStyle w:val="NoSpacing"/>
        <w:rPr>
          <w:rFonts w:ascii="Arial" w:hAnsi="Arial" w:cs="Arial"/>
        </w:rPr>
      </w:pPr>
    </w:p>
    <w:p w14:paraId="5AFA4AA1" w14:textId="77777777" w:rsidR="00CE39CF" w:rsidRDefault="00CE39CF" w:rsidP="007A6D88">
      <w:pPr>
        <w:pStyle w:val="NoSpacing"/>
        <w:rPr>
          <w:rFonts w:ascii="Arial" w:hAnsi="Arial" w:cs="Arial"/>
        </w:rPr>
      </w:pPr>
    </w:p>
    <w:p w14:paraId="4F0DFB1F" w14:textId="77777777" w:rsidR="00CE39CF" w:rsidRDefault="00CE39CF" w:rsidP="007A6D88">
      <w:pPr>
        <w:pStyle w:val="NoSpacing"/>
        <w:rPr>
          <w:rFonts w:ascii="Arial" w:hAnsi="Arial" w:cs="Arial"/>
        </w:rPr>
      </w:pPr>
    </w:p>
    <w:p w14:paraId="6667BF08" w14:textId="77777777" w:rsidR="00CE39CF" w:rsidRPr="00CE39CF" w:rsidRDefault="00CE39CF" w:rsidP="007A6D88">
      <w:pPr>
        <w:pStyle w:val="NoSpacing"/>
        <w:rPr>
          <w:rFonts w:ascii="Arial" w:hAnsi="Arial" w:cs="Arial"/>
        </w:rPr>
      </w:pPr>
    </w:p>
    <w:p w14:paraId="55DF42C4" w14:textId="77777777" w:rsidR="00EF3085" w:rsidRDefault="00EF3085">
      <w:pPr>
        <w:rPr>
          <w:rFonts w:ascii="Arial" w:hAnsi="Arial" w:cs="Arial"/>
          <w:b/>
        </w:rPr>
      </w:pPr>
      <w:r>
        <w:rPr>
          <w:rFonts w:ascii="Arial" w:hAnsi="Arial" w:cs="Arial"/>
          <w:b/>
        </w:rPr>
        <w:br w:type="page"/>
      </w:r>
    </w:p>
    <w:p w14:paraId="65940654" w14:textId="7ABA3DBC" w:rsidR="00B7265B" w:rsidRDefault="00FB0B04" w:rsidP="00D92C44">
      <w:pPr>
        <w:pStyle w:val="NoSpacing"/>
        <w:rPr>
          <w:rFonts w:ascii="Arial" w:hAnsi="Arial" w:cs="Arial"/>
          <w:b/>
        </w:rPr>
      </w:pPr>
      <w:r w:rsidRPr="00CE39CF">
        <w:rPr>
          <w:rFonts w:ascii="Arial" w:hAnsi="Arial" w:cs="Arial"/>
          <w:b/>
        </w:rPr>
        <w:lastRenderedPageBreak/>
        <w:t>APPENDIX 4</w:t>
      </w:r>
    </w:p>
    <w:p w14:paraId="6D4787FB" w14:textId="77777777" w:rsidR="00CE39CF" w:rsidRDefault="00CE39CF" w:rsidP="00D92C44">
      <w:pPr>
        <w:pStyle w:val="NoSpacing"/>
        <w:rPr>
          <w:rFonts w:ascii="Arial" w:hAnsi="Arial" w:cs="Arial"/>
          <w:b/>
        </w:rPr>
      </w:pPr>
    </w:p>
    <w:tbl>
      <w:tblPr>
        <w:tblStyle w:val="TableGrid"/>
        <w:tblW w:w="12560" w:type="dxa"/>
        <w:tblLook w:val="04A0" w:firstRow="1" w:lastRow="0" w:firstColumn="1" w:lastColumn="0" w:noHBand="0" w:noVBand="1"/>
      </w:tblPr>
      <w:tblGrid>
        <w:gridCol w:w="5090"/>
        <w:gridCol w:w="2230"/>
        <w:gridCol w:w="2140"/>
        <w:gridCol w:w="2140"/>
        <w:gridCol w:w="1018"/>
      </w:tblGrid>
      <w:tr w:rsidR="000C6FB1" w:rsidRPr="000C6FB1" w14:paraId="6B88D058" w14:textId="77777777" w:rsidTr="004536F0">
        <w:trPr>
          <w:trHeight w:val="315"/>
        </w:trPr>
        <w:tc>
          <w:tcPr>
            <w:tcW w:w="7320" w:type="dxa"/>
            <w:gridSpan w:val="2"/>
            <w:noWrap/>
            <w:hideMark/>
          </w:tcPr>
          <w:p w14:paraId="2D2293A5"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DESCRIPTION OF STUDY COHORT (PROPENSITY MATCH)</w:t>
            </w:r>
          </w:p>
        </w:tc>
        <w:tc>
          <w:tcPr>
            <w:tcW w:w="4280" w:type="dxa"/>
            <w:gridSpan w:val="2"/>
            <w:noWrap/>
            <w:hideMark/>
          </w:tcPr>
          <w:p w14:paraId="2286E32E" w14:textId="77777777" w:rsidR="000C6FB1" w:rsidRPr="000C6FB1" w:rsidRDefault="000C6FB1" w:rsidP="00B9712C">
            <w:pPr>
              <w:jc w:val="center"/>
              <w:rPr>
                <w:rFonts w:ascii="Arial" w:eastAsia="Times New Roman" w:hAnsi="Arial" w:cs="Arial"/>
                <w:b/>
                <w:bCs/>
                <w:color w:val="000000"/>
              </w:rPr>
            </w:pPr>
            <w:r w:rsidRPr="000C6FB1">
              <w:rPr>
                <w:rFonts w:ascii="Arial" w:eastAsia="Times New Roman" w:hAnsi="Arial" w:cs="Arial"/>
                <w:b/>
                <w:bCs/>
                <w:color w:val="000000"/>
              </w:rPr>
              <w:t> </w:t>
            </w:r>
          </w:p>
        </w:tc>
        <w:tc>
          <w:tcPr>
            <w:tcW w:w="960" w:type="dxa"/>
            <w:noWrap/>
            <w:hideMark/>
          </w:tcPr>
          <w:p w14:paraId="2BC62511" w14:textId="77777777" w:rsidR="000C6FB1" w:rsidRPr="000C6FB1" w:rsidRDefault="000C6FB1" w:rsidP="00B9712C">
            <w:pPr>
              <w:jc w:val="center"/>
              <w:rPr>
                <w:rFonts w:ascii="Arial" w:eastAsia="Times New Roman" w:hAnsi="Arial" w:cs="Arial"/>
                <w:b/>
                <w:bCs/>
                <w:color w:val="000000"/>
              </w:rPr>
            </w:pPr>
            <w:r w:rsidRPr="000C6FB1">
              <w:rPr>
                <w:rFonts w:ascii="Arial" w:eastAsia="Times New Roman" w:hAnsi="Arial" w:cs="Arial"/>
                <w:b/>
                <w:bCs/>
                <w:color w:val="000000"/>
              </w:rPr>
              <w:t> </w:t>
            </w:r>
          </w:p>
        </w:tc>
      </w:tr>
      <w:tr w:rsidR="000C6FB1" w:rsidRPr="000C6FB1" w14:paraId="57B24AFF" w14:textId="77777777" w:rsidTr="004536F0">
        <w:trPr>
          <w:trHeight w:val="360"/>
        </w:trPr>
        <w:tc>
          <w:tcPr>
            <w:tcW w:w="5090" w:type="dxa"/>
            <w:noWrap/>
            <w:hideMark/>
          </w:tcPr>
          <w:p w14:paraId="7AADB1A2" w14:textId="77777777" w:rsidR="000C6FB1" w:rsidRPr="000C6FB1" w:rsidRDefault="000C6FB1" w:rsidP="00B9712C">
            <w:pPr>
              <w:rPr>
                <w:rFonts w:ascii="Arial" w:eastAsia="Times New Roman" w:hAnsi="Arial" w:cs="Arial"/>
                <w:b/>
                <w:bCs/>
                <w:color w:val="000000"/>
                <w:sz w:val="20"/>
                <w:szCs w:val="20"/>
              </w:rPr>
            </w:pPr>
          </w:p>
        </w:tc>
        <w:tc>
          <w:tcPr>
            <w:tcW w:w="2230" w:type="dxa"/>
            <w:noWrap/>
            <w:hideMark/>
          </w:tcPr>
          <w:p w14:paraId="748482D1" w14:textId="77777777" w:rsidR="000C6FB1" w:rsidRPr="000C6FB1" w:rsidRDefault="000C6FB1" w:rsidP="00B9712C">
            <w:pPr>
              <w:jc w:val="center"/>
              <w:rPr>
                <w:rFonts w:ascii="Arial" w:eastAsia="Times New Roman" w:hAnsi="Arial" w:cs="Arial"/>
                <w:b/>
                <w:bCs/>
                <w:color w:val="000000"/>
              </w:rPr>
            </w:pPr>
            <w:r w:rsidRPr="000C6FB1">
              <w:rPr>
                <w:rFonts w:ascii="Arial" w:eastAsia="Times New Roman" w:hAnsi="Arial" w:cs="Arial"/>
                <w:b/>
                <w:bCs/>
                <w:color w:val="000000"/>
              </w:rPr>
              <w:t> </w:t>
            </w:r>
          </w:p>
        </w:tc>
        <w:tc>
          <w:tcPr>
            <w:tcW w:w="4280" w:type="dxa"/>
            <w:gridSpan w:val="2"/>
            <w:noWrap/>
            <w:hideMark/>
          </w:tcPr>
          <w:p w14:paraId="1A9B8C95" w14:textId="77777777" w:rsidR="000C6FB1" w:rsidRPr="000C6FB1" w:rsidRDefault="000C6FB1" w:rsidP="00B9712C">
            <w:pPr>
              <w:jc w:val="center"/>
              <w:rPr>
                <w:rFonts w:ascii="Arial" w:eastAsia="Times New Roman" w:hAnsi="Arial" w:cs="Arial"/>
                <w:b/>
                <w:bCs/>
                <w:color w:val="000000"/>
              </w:rPr>
            </w:pPr>
            <w:r w:rsidRPr="000C6FB1">
              <w:rPr>
                <w:rFonts w:ascii="Arial" w:eastAsia="Times New Roman" w:hAnsi="Arial" w:cs="Arial"/>
                <w:b/>
                <w:bCs/>
                <w:color w:val="000000"/>
              </w:rPr>
              <w:t>Patients initially managed using</w:t>
            </w:r>
          </w:p>
        </w:tc>
        <w:tc>
          <w:tcPr>
            <w:tcW w:w="960" w:type="dxa"/>
            <w:noWrap/>
            <w:hideMark/>
          </w:tcPr>
          <w:p w14:paraId="5C6CDEF5" w14:textId="77777777" w:rsidR="000C6FB1" w:rsidRPr="000C6FB1" w:rsidRDefault="000C6FB1" w:rsidP="00B9712C">
            <w:pPr>
              <w:jc w:val="center"/>
              <w:rPr>
                <w:rFonts w:ascii="Arial" w:eastAsia="Times New Roman" w:hAnsi="Arial" w:cs="Arial"/>
                <w:b/>
                <w:bCs/>
                <w:color w:val="000000"/>
              </w:rPr>
            </w:pPr>
            <w:r w:rsidRPr="000C6FB1">
              <w:rPr>
                <w:rFonts w:ascii="Arial" w:eastAsia="Times New Roman" w:hAnsi="Arial" w:cs="Arial"/>
                <w:b/>
                <w:bCs/>
                <w:color w:val="000000"/>
              </w:rPr>
              <w:t>P</w:t>
            </w:r>
            <w:r w:rsidRPr="000C6FB1">
              <w:rPr>
                <w:rFonts w:ascii="Arial" w:eastAsia="Times New Roman" w:hAnsi="Arial" w:cs="Arial"/>
                <w:b/>
                <w:bCs/>
                <w:color w:val="000000"/>
                <w:vertAlign w:val="superscript"/>
              </w:rPr>
              <w:t>1</w:t>
            </w:r>
          </w:p>
        </w:tc>
      </w:tr>
      <w:tr w:rsidR="000C6FB1" w:rsidRPr="000C6FB1" w14:paraId="7BCFCCF6" w14:textId="77777777" w:rsidTr="004536F0">
        <w:trPr>
          <w:trHeight w:val="360"/>
        </w:trPr>
        <w:tc>
          <w:tcPr>
            <w:tcW w:w="5090" w:type="dxa"/>
            <w:noWrap/>
            <w:hideMark/>
          </w:tcPr>
          <w:p w14:paraId="6DF40B59" w14:textId="77777777" w:rsidR="000C6FB1" w:rsidRPr="000C6FB1" w:rsidRDefault="000C6FB1" w:rsidP="00B9712C">
            <w:pPr>
              <w:rPr>
                <w:rFonts w:ascii="Arial" w:eastAsia="Times New Roman" w:hAnsi="Arial" w:cs="Arial"/>
                <w:color w:val="000000"/>
                <w:sz w:val="20"/>
                <w:szCs w:val="20"/>
              </w:rPr>
            </w:pPr>
            <w:r w:rsidRPr="000C6FB1">
              <w:rPr>
                <w:rFonts w:ascii="Arial" w:eastAsia="Times New Roman" w:hAnsi="Arial" w:cs="Arial"/>
                <w:color w:val="000000"/>
                <w:sz w:val="20"/>
              </w:rPr>
              <w:t> </w:t>
            </w:r>
          </w:p>
        </w:tc>
        <w:tc>
          <w:tcPr>
            <w:tcW w:w="2230" w:type="dxa"/>
            <w:noWrap/>
            <w:hideMark/>
          </w:tcPr>
          <w:p w14:paraId="4664590E" w14:textId="77777777" w:rsidR="000C6FB1" w:rsidRPr="000C6FB1" w:rsidRDefault="000C6FB1" w:rsidP="00B9712C">
            <w:pPr>
              <w:jc w:val="center"/>
              <w:rPr>
                <w:rFonts w:ascii="Arial" w:eastAsia="Times New Roman" w:hAnsi="Arial" w:cs="Arial"/>
                <w:b/>
                <w:bCs/>
                <w:color w:val="000000"/>
              </w:rPr>
            </w:pPr>
            <w:r w:rsidRPr="000C6FB1">
              <w:rPr>
                <w:rFonts w:ascii="Arial" w:eastAsia="Times New Roman" w:hAnsi="Arial" w:cs="Arial"/>
                <w:b/>
                <w:bCs/>
                <w:color w:val="000000"/>
              </w:rPr>
              <w:t>All Patients</w:t>
            </w:r>
          </w:p>
        </w:tc>
        <w:tc>
          <w:tcPr>
            <w:tcW w:w="2140" w:type="dxa"/>
            <w:noWrap/>
            <w:hideMark/>
          </w:tcPr>
          <w:p w14:paraId="12B9545E" w14:textId="77777777" w:rsidR="000C6FB1" w:rsidRPr="000C6FB1" w:rsidRDefault="000C6FB1" w:rsidP="00B9712C">
            <w:pPr>
              <w:jc w:val="center"/>
              <w:rPr>
                <w:rFonts w:ascii="Arial" w:eastAsia="Times New Roman" w:hAnsi="Arial" w:cs="Arial"/>
                <w:b/>
                <w:bCs/>
                <w:color w:val="000000"/>
              </w:rPr>
            </w:pPr>
            <w:r w:rsidRPr="000C6FB1">
              <w:rPr>
                <w:rFonts w:ascii="Arial" w:eastAsia="Times New Roman" w:hAnsi="Arial" w:cs="Arial"/>
                <w:b/>
                <w:bCs/>
                <w:color w:val="000000"/>
              </w:rPr>
              <w:t>AMI order set</w:t>
            </w:r>
            <w:r w:rsidRPr="000C6FB1">
              <w:rPr>
                <w:rFonts w:ascii="Arial" w:eastAsia="Times New Roman" w:hAnsi="Arial" w:cs="Arial"/>
                <w:b/>
                <w:bCs/>
                <w:color w:val="000000"/>
                <w:vertAlign w:val="superscript"/>
              </w:rPr>
              <w:t>2</w:t>
            </w:r>
          </w:p>
        </w:tc>
        <w:tc>
          <w:tcPr>
            <w:tcW w:w="2140" w:type="dxa"/>
            <w:noWrap/>
            <w:hideMark/>
          </w:tcPr>
          <w:p w14:paraId="6AE64B4D" w14:textId="77777777" w:rsidR="000C6FB1" w:rsidRPr="000C6FB1" w:rsidRDefault="000C6FB1" w:rsidP="00B9712C">
            <w:pPr>
              <w:jc w:val="center"/>
              <w:rPr>
                <w:rFonts w:ascii="Arial" w:eastAsia="Times New Roman" w:hAnsi="Arial" w:cs="Arial"/>
                <w:b/>
                <w:bCs/>
                <w:color w:val="000000"/>
              </w:rPr>
            </w:pPr>
            <w:r w:rsidRPr="000C6FB1">
              <w:rPr>
                <w:rFonts w:ascii="Arial" w:eastAsia="Times New Roman" w:hAnsi="Arial" w:cs="Arial"/>
                <w:b/>
                <w:bCs/>
                <w:color w:val="000000"/>
              </w:rPr>
              <w:t>A la carte</w:t>
            </w:r>
            <w:r w:rsidRPr="000C6FB1">
              <w:rPr>
                <w:rFonts w:ascii="Arial" w:eastAsia="Times New Roman" w:hAnsi="Arial" w:cs="Arial"/>
                <w:b/>
                <w:bCs/>
                <w:color w:val="000000"/>
                <w:vertAlign w:val="superscript"/>
              </w:rPr>
              <w:t>2</w:t>
            </w:r>
            <w:r w:rsidRPr="000C6FB1">
              <w:rPr>
                <w:rFonts w:ascii="Arial" w:eastAsia="Times New Roman" w:hAnsi="Arial" w:cs="Arial"/>
                <w:b/>
                <w:bCs/>
                <w:color w:val="000000"/>
              </w:rPr>
              <w:t xml:space="preserve"> orders</w:t>
            </w:r>
          </w:p>
        </w:tc>
        <w:tc>
          <w:tcPr>
            <w:tcW w:w="960" w:type="dxa"/>
            <w:noWrap/>
            <w:hideMark/>
          </w:tcPr>
          <w:p w14:paraId="1FE3A8CF"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 </w:t>
            </w:r>
          </w:p>
        </w:tc>
      </w:tr>
      <w:tr w:rsidR="000C6FB1" w:rsidRPr="000C6FB1" w14:paraId="6221D2AC" w14:textId="77777777" w:rsidTr="004536F0">
        <w:trPr>
          <w:trHeight w:val="300"/>
        </w:trPr>
        <w:tc>
          <w:tcPr>
            <w:tcW w:w="5090" w:type="dxa"/>
            <w:noWrap/>
            <w:hideMark/>
          </w:tcPr>
          <w:p w14:paraId="6DF6E94F" w14:textId="77777777" w:rsidR="000C6FB1" w:rsidRPr="000C6FB1" w:rsidRDefault="000C6FB1" w:rsidP="00B9712C">
            <w:pPr>
              <w:rPr>
                <w:rFonts w:ascii="Arial" w:eastAsia="Times New Roman" w:hAnsi="Arial" w:cs="Arial"/>
                <w:color w:val="000000"/>
                <w:sz w:val="20"/>
                <w:szCs w:val="20"/>
              </w:rPr>
            </w:pPr>
          </w:p>
        </w:tc>
        <w:tc>
          <w:tcPr>
            <w:tcW w:w="2230" w:type="dxa"/>
            <w:noWrap/>
            <w:hideMark/>
          </w:tcPr>
          <w:p w14:paraId="346163C7"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N=4,304</w:t>
            </w:r>
          </w:p>
        </w:tc>
        <w:tc>
          <w:tcPr>
            <w:tcW w:w="2140" w:type="dxa"/>
            <w:noWrap/>
            <w:hideMark/>
          </w:tcPr>
          <w:p w14:paraId="173D884F"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N=2,152</w:t>
            </w:r>
          </w:p>
        </w:tc>
        <w:tc>
          <w:tcPr>
            <w:tcW w:w="2140" w:type="dxa"/>
            <w:noWrap/>
            <w:hideMark/>
          </w:tcPr>
          <w:p w14:paraId="2EA30F53"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N=2,152</w:t>
            </w:r>
          </w:p>
        </w:tc>
        <w:tc>
          <w:tcPr>
            <w:tcW w:w="960" w:type="dxa"/>
            <w:noWrap/>
            <w:hideMark/>
          </w:tcPr>
          <w:p w14:paraId="408FA7B6" w14:textId="77777777" w:rsidR="000C6FB1" w:rsidRPr="000C6FB1" w:rsidRDefault="000C6FB1" w:rsidP="00B9712C">
            <w:pPr>
              <w:jc w:val="right"/>
              <w:rPr>
                <w:rFonts w:ascii="Arial" w:eastAsia="Times New Roman" w:hAnsi="Arial" w:cs="Arial"/>
                <w:color w:val="000000"/>
              </w:rPr>
            </w:pPr>
          </w:p>
        </w:tc>
      </w:tr>
      <w:tr w:rsidR="000C6FB1" w:rsidRPr="000C6FB1" w14:paraId="68A93A14" w14:textId="77777777" w:rsidTr="004536F0">
        <w:trPr>
          <w:trHeight w:val="300"/>
        </w:trPr>
        <w:tc>
          <w:tcPr>
            <w:tcW w:w="5090" w:type="dxa"/>
            <w:noWrap/>
            <w:hideMark/>
          </w:tcPr>
          <w:p w14:paraId="469BFD5B"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Age in years median(mean ± SD</w:t>
            </w:r>
            <w:r w:rsidRPr="000C6FB1">
              <w:rPr>
                <w:rFonts w:ascii="Arial" w:eastAsia="Times New Roman" w:hAnsi="Arial" w:cs="Arial"/>
                <w:b/>
                <w:bCs/>
                <w:color w:val="000000"/>
                <w:sz w:val="20"/>
                <w:szCs w:val="20"/>
                <w:vertAlign w:val="superscript"/>
              </w:rPr>
              <w:t>3</w:t>
            </w:r>
            <w:r w:rsidRPr="000C6FB1">
              <w:rPr>
                <w:rFonts w:ascii="Arial" w:eastAsia="Times New Roman" w:hAnsi="Arial" w:cs="Arial"/>
                <w:b/>
                <w:bCs/>
                <w:color w:val="000000"/>
                <w:sz w:val="20"/>
                <w:szCs w:val="20"/>
              </w:rPr>
              <w:t>)</w:t>
            </w:r>
          </w:p>
        </w:tc>
        <w:tc>
          <w:tcPr>
            <w:tcW w:w="2230" w:type="dxa"/>
            <w:noWrap/>
            <w:hideMark/>
          </w:tcPr>
          <w:p w14:paraId="695362F9"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71 ( 69.9 ± 13.6)</w:t>
            </w:r>
          </w:p>
        </w:tc>
        <w:tc>
          <w:tcPr>
            <w:tcW w:w="2140" w:type="dxa"/>
            <w:noWrap/>
            <w:hideMark/>
          </w:tcPr>
          <w:p w14:paraId="3F08DF45"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71 ( 70.2 ± 13.5)</w:t>
            </w:r>
          </w:p>
        </w:tc>
        <w:tc>
          <w:tcPr>
            <w:tcW w:w="2140" w:type="dxa"/>
            <w:noWrap/>
            <w:hideMark/>
          </w:tcPr>
          <w:p w14:paraId="526A3AB9"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70 ( 69.6 ± 13.7)</w:t>
            </w:r>
          </w:p>
        </w:tc>
        <w:tc>
          <w:tcPr>
            <w:tcW w:w="960" w:type="dxa"/>
            <w:noWrap/>
            <w:hideMark/>
          </w:tcPr>
          <w:p w14:paraId="505BB12F"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0.1418</w:t>
            </w:r>
          </w:p>
        </w:tc>
      </w:tr>
      <w:tr w:rsidR="000C6FB1" w:rsidRPr="000C6FB1" w14:paraId="2B4ED8EF" w14:textId="77777777" w:rsidTr="004536F0">
        <w:trPr>
          <w:trHeight w:val="300"/>
        </w:trPr>
        <w:tc>
          <w:tcPr>
            <w:tcW w:w="5090" w:type="dxa"/>
            <w:noWrap/>
            <w:hideMark/>
          </w:tcPr>
          <w:p w14:paraId="3F260195"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Age (% &gt; 65 years)</w:t>
            </w:r>
          </w:p>
        </w:tc>
        <w:tc>
          <w:tcPr>
            <w:tcW w:w="2230" w:type="dxa"/>
            <w:noWrap/>
            <w:hideMark/>
          </w:tcPr>
          <w:p w14:paraId="301795AF"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2,697 </w:t>
            </w:r>
            <w:proofErr w:type="gramStart"/>
            <w:r w:rsidRPr="000C6FB1">
              <w:rPr>
                <w:rFonts w:ascii="Arial" w:eastAsia="Times New Roman" w:hAnsi="Arial" w:cs="Arial"/>
                <w:color w:val="000000"/>
              </w:rPr>
              <w:t>( 62.7</w:t>
            </w:r>
            <w:proofErr w:type="gramEnd"/>
            <w:r w:rsidRPr="000C6FB1">
              <w:rPr>
                <w:rFonts w:ascii="Arial" w:eastAsia="Times New Roman" w:hAnsi="Arial" w:cs="Arial"/>
                <w:color w:val="000000"/>
              </w:rPr>
              <w:t>%)</w:t>
            </w:r>
          </w:p>
        </w:tc>
        <w:tc>
          <w:tcPr>
            <w:tcW w:w="2140" w:type="dxa"/>
            <w:noWrap/>
            <w:hideMark/>
          </w:tcPr>
          <w:p w14:paraId="13D62B46"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1,367 </w:t>
            </w:r>
            <w:proofErr w:type="gramStart"/>
            <w:r w:rsidRPr="000C6FB1">
              <w:rPr>
                <w:rFonts w:ascii="Arial" w:eastAsia="Times New Roman" w:hAnsi="Arial" w:cs="Arial"/>
                <w:color w:val="000000"/>
              </w:rPr>
              <w:t>( 63.5</w:t>
            </w:r>
            <w:proofErr w:type="gramEnd"/>
            <w:r w:rsidRPr="000C6FB1">
              <w:rPr>
                <w:rFonts w:ascii="Arial" w:eastAsia="Times New Roman" w:hAnsi="Arial" w:cs="Arial"/>
                <w:color w:val="000000"/>
              </w:rPr>
              <w:t>%)</w:t>
            </w:r>
          </w:p>
        </w:tc>
        <w:tc>
          <w:tcPr>
            <w:tcW w:w="2140" w:type="dxa"/>
            <w:noWrap/>
            <w:hideMark/>
          </w:tcPr>
          <w:p w14:paraId="1A46E7F6"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1,330 </w:t>
            </w:r>
            <w:proofErr w:type="gramStart"/>
            <w:r w:rsidRPr="000C6FB1">
              <w:rPr>
                <w:rFonts w:ascii="Arial" w:eastAsia="Times New Roman" w:hAnsi="Arial" w:cs="Arial"/>
                <w:color w:val="000000"/>
              </w:rPr>
              <w:t>( 61.8</w:t>
            </w:r>
            <w:proofErr w:type="gramEnd"/>
            <w:r w:rsidRPr="000C6FB1">
              <w:rPr>
                <w:rFonts w:ascii="Arial" w:eastAsia="Times New Roman" w:hAnsi="Arial" w:cs="Arial"/>
                <w:color w:val="000000"/>
              </w:rPr>
              <w:t>%)</w:t>
            </w:r>
          </w:p>
        </w:tc>
        <w:tc>
          <w:tcPr>
            <w:tcW w:w="960" w:type="dxa"/>
            <w:noWrap/>
            <w:hideMark/>
          </w:tcPr>
          <w:p w14:paraId="2D3D7F71"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0.2436</w:t>
            </w:r>
          </w:p>
        </w:tc>
      </w:tr>
      <w:tr w:rsidR="000C6FB1" w:rsidRPr="000C6FB1" w14:paraId="20236A83" w14:textId="77777777" w:rsidTr="004536F0">
        <w:trPr>
          <w:trHeight w:val="300"/>
        </w:trPr>
        <w:tc>
          <w:tcPr>
            <w:tcW w:w="5090" w:type="dxa"/>
            <w:noWrap/>
            <w:hideMark/>
          </w:tcPr>
          <w:p w14:paraId="0AE51C39"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Sex (% male)</w:t>
            </w:r>
          </w:p>
        </w:tc>
        <w:tc>
          <w:tcPr>
            <w:tcW w:w="2230" w:type="dxa"/>
            <w:noWrap/>
            <w:hideMark/>
          </w:tcPr>
          <w:p w14:paraId="1278708E"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2,625 </w:t>
            </w:r>
            <w:proofErr w:type="gramStart"/>
            <w:r w:rsidRPr="000C6FB1">
              <w:rPr>
                <w:rFonts w:ascii="Arial" w:eastAsia="Times New Roman" w:hAnsi="Arial" w:cs="Arial"/>
                <w:color w:val="000000"/>
              </w:rPr>
              <w:t>( 61.0</w:t>
            </w:r>
            <w:proofErr w:type="gramEnd"/>
            <w:r w:rsidRPr="000C6FB1">
              <w:rPr>
                <w:rFonts w:ascii="Arial" w:eastAsia="Times New Roman" w:hAnsi="Arial" w:cs="Arial"/>
                <w:color w:val="000000"/>
              </w:rPr>
              <w:t>%)</w:t>
            </w:r>
          </w:p>
        </w:tc>
        <w:tc>
          <w:tcPr>
            <w:tcW w:w="2140" w:type="dxa"/>
            <w:noWrap/>
            <w:hideMark/>
          </w:tcPr>
          <w:p w14:paraId="3182B3C1"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1,304 </w:t>
            </w:r>
            <w:proofErr w:type="gramStart"/>
            <w:r w:rsidRPr="000C6FB1">
              <w:rPr>
                <w:rFonts w:ascii="Arial" w:eastAsia="Times New Roman" w:hAnsi="Arial" w:cs="Arial"/>
                <w:color w:val="000000"/>
              </w:rPr>
              <w:t>( 60.6</w:t>
            </w:r>
            <w:proofErr w:type="gramEnd"/>
            <w:r w:rsidRPr="000C6FB1">
              <w:rPr>
                <w:rFonts w:ascii="Arial" w:eastAsia="Times New Roman" w:hAnsi="Arial" w:cs="Arial"/>
                <w:color w:val="000000"/>
              </w:rPr>
              <w:t>%)</w:t>
            </w:r>
          </w:p>
        </w:tc>
        <w:tc>
          <w:tcPr>
            <w:tcW w:w="2140" w:type="dxa"/>
            <w:noWrap/>
            <w:hideMark/>
          </w:tcPr>
          <w:p w14:paraId="7E36C77B"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1,321 </w:t>
            </w:r>
            <w:proofErr w:type="gramStart"/>
            <w:r w:rsidRPr="000C6FB1">
              <w:rPr>
                <w:rFonts w:ascii="Arial" w:eastAsia="Times New Roman" w:hAnsi="Arial" w:cs="Arial"/>
                <w:color w:val="000000"/>
              </w:rPr>
              <w:t>( 61.4</w:t>
            </w:r>
            <w:proofErr w:type="gramEnd"/>
            <w:r w:rsidRPr="000C6FB1">
              <w:rPr>
                <w:rFonts w:ascii="Arial" w:eastAsia="Times New Roman" w:hAnsi="Arial" w:cs="Arial"/>
                <w:color w:val="000000"/>
              </w:rPr>
              <w:t>%)</w:t>
            </w:r>
          </w:p>
        </w:tc>
        <w:tc>
          <w:tcPr>
            <w:tcW w:w="960" w:type="dxa"/>
            <w:noWrap/>
            <w:hideMark/>
          </w:tcPr>
          <w:p w14:paraId="168FA7C2"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0.5952</w:t>
            </w:r>
          </w:p>
        </w:tc>
      </w:tr>
      <w:tr w:rsidR="000C6FB1" w:rsidRPr="000C6FB1" w14:paraId="60DAC2CA" w14:textId="77777777" w:rsidTr="004536F0">
        <w:trPr>
          <w:trHeight w:val="300"/>
        </w:trPr>
        <w:tc>
          <w:tcPr>
            <w:tcW w:w="5090" w:type="dxa"/>
            <w:noWrap/>
            <w:hideMark/>
          </w:tcPr>
          <w:p w14:paraId="09B9DD70"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STEMI</w:t>
            </w:r>
            <w:r w:rsidRPr="000C6FB1">
              <w:rPr>
                <w:rFonts w:ascii="Arial" w:eastAsia="Times New Roman" w:hAnsi="Arial" w:cs="Arial"/>
                <w:b/>
                <w:bCs/>
                <w:color w:val="000000"/>
                <w:sz w:val="20"/>
                <w:szCs w:val="20"/>
                <w:vertAlign w:val="superscript"/>
              </w:rPr>
              <w:t>4</w:t>
            </w:r>
            <w:r w:rsidRPr="000C6FB1">
              <w:rPr>
                <w:rFonts w:ascii="Arial" w:eastAsia="Times New Roman" w:hAnsi="Arial" w:cs="Arial"/>
                <w:b/>
                <w:bCs/>
                <w:color w:val="000000"/>
                <w:sz w:val="20"/>
                <w:szCs w:val="20"/>
              </w:rPr>
              <w:t xml:space="preserve"> (% with)</w:t>
            </w:r>
          </w:p>
        </w:tc>
        <w:tc>
          <w:tcPr>
            <w:tcW w:w="2230" w:type="dxa"/>
            <w:noWrap/>
            <w:hideMark/>
          </w:tcPr>
          <w:p w14:paraId="3A70CDDB"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371 </w:t>
            </w:r>
            <w:proofErr w:type="gramStart"/>
            <w:r w:rsidRPr="000C6FB1">
              <w:rPr>
                <w:rFonts w:ascii="Arial" w:eastAsia="Times New Roman" w:hAnsi="Arial" w:cs="Arial"/>
                <w:color w:val="000000"/>
              </w:rPr>
              <w:t>( 8.6</w:t>
            </w:r>
            <w:proofErr w:type="gramEnd"/>
            <w:r w:rsidRPr="000C6FB1">
              <w:rPr>
                <w:rFonts w:ascii="Arial" w:eastAsia="Times New Roman" w:hAnsi="Arial" w:cs="Arial"/>
                <w:color w:val="000000"/>
              </w:rPr>
              <w:t>%)</w:t>
            </w:r>
          </w:p>
        </w:tc>
        <w:tc>
          <w:tcPr>
            <w:tcW w:w="2140" w:type="dxa"/>
            <w:noWrap/>
            <w:hideMark/>
          </w:tcPr>
          <w:p w14:paraId="14961EEE"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165 </w:t>
            </w:r>
            <w:proofErr w:type="gramStart"/>
            <w:r w:rsidRPr="000C6FB1">
              <w:rPr>
                <w:rFonts w:ascii="Arial" w:eastAsia="Times New Roman" w:hAnsi="Arial" w:cs="Arial"/>
                <w:color w:val="000000"/>
              </w:rPr>
              <w:t>( 7.7</w:t>
            </w:r>
            <w:proofErr w:type="gramEnd"/>
            <w:r w:rsidRPr="000C6FB1">
              <w:rPr>
                <w:rFonts w:ascii="Arial" w:eastAsia="Times New Roman" w:hAnsi="Arial" w:cs="Arial"/>
                <w:color w:val="000000"/>
              </w:rPr>
              <w:t>%)</w:t>
            </w:r>
          </w:p>
        </w:tc>
        <w:tc>
          <w:tcPr>
            <w:tcW w:w="2140" w:type="dxa"/>
            <w:noWrap/>
            <w:hideMark/>
          </w:tcPr>
          <w:p w14:paraId="5E2D582A"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206 </w:t>
            </w:r>
            <w:proofErr w:type="gramStart"/>
            <w:r w:rsidRPr="000C6FB1">
              <w:rPr>
                <w:rFonts w:ascii="Arial" w:eastAsia="Times New Roman" w:hAnsi="Arial" w:cs="Arial"/>
                <w:color w:val="000000"/>
              </w:rPr>
              <w:t>( 9.6</w:t>
            </w:r>
            <w:proofErr w:type="gramEnd"/>
            <w:r w:rsidRPr="000C6FB1">
              <w:rPr>
                <w:rFonts w:ascii="Arial" w:eastAsia="Times New Roman" w:hAnsi="Arial" w:cs="Arial"/>
                <w:color w:val="000000"/>
              </w:rPr>
              <w:t>%)</w:t>
            </w:r>
          </w:p>
        </w:tc>
        <w:tc>
          <w:tcPr>
            <w:tcW w:w="960" w:type="dxa"/>
            <w:noWrap/>
            <w:hideMark/>
          </w:tcPr>
          <w:p w14:paraId="0C9C3CF2" w14:textId="17AF9D95"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0.0260</w:t>
            </w:r>
          </w:p>
        </w:tc>
      </w:tr>
      <w:tr w:rsidR="000C6FB1" w:rsidRPr="000C6FB1" w14:paraId="3A3F5BC7" w14:textId="77777777" w:rsidTr="004536F0">
        <w:trPr>
          <w:trHeight w:val="300"/>
        </w:trPr>
        <w:tc>
          <w:tcPr>
            <w:tcW w:w="5090" w:type="dxa"/>
            <w:noWrap/>
            <w:hideMark/>
          </w:tcPr>
          <w:p w14:paraId="436FA609"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themeColor="text1"/>
                <w:sz w:val="20"/>
              </w:rPr>
              <w:t>Troponin I (% missing)</w:t>
            </w:r>
          </w:p>
        </w:tc>
        <w:tc>
          <w:tcPr>
            <w:tcW w:w="2230" w:type="dxa"/>
            <w:noWrap/>
            <w:hideMark/>
          </w:tcPr>
          <w:p w14:paraId="2D417B44"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203 </w:t>
            </w:r>
            <w:proofErr w:type="gramStart"/>
            <w:r w:rsidRPr="000C6FB1">
              <w:rPr>
                <w:rFonts w:ascii="Arial" w:eastAsia="Times New Roman" w:hAnsi="Arial" w:cs="Arial"/>
                <w:color w:val="000000"/>
              </w:rPr>
              <w:t>( 4.7</w:t>
            </w:r>
            <w:proofErr w:type="gramEnd"/>
            <w:r w:rsidRPr="000C6FB1">
              <w:rPr>
                <w:rFonts w:ascii="Arial" w:eastAsia="Times New Roman" w:hAnsi="Arial" w:cs="Arial"/>
                <w:color w:val="000000"/>
              </w:rPr>
              <w:t>%)</w:t>
            </w:r>
          </w:p>
        </w:tc>
        <w:tc>
          <w:tcPr>
            <w:tcW w:w="2140" w:type="dxa"/>
            <w:noWrap/>
            <w:hideMark/>
          </w:tcPr>
          <w:p w14:paraId="4422AAEE"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69 </w:t>
            </w:r>
            <w:proofErr w:type="gramStart"/>
            <w:r w:rsidRPr="000C6FB1">
              <w:rPr>
                <w:rFonts w:ascii="Arial" w:eastAsia="Times New Roman" w:hAnsi="Arial" w:cs="Arial"/>
                <w:color w:val="000000"/>
              </w:rPr>
              <w:t>( 3.2</w:t>
            </w:r>
            <w:proofErr w:type="gramEnd"/>
            <w:r w:rsidRPr="000C6FB1">
              <w:rPr>
                <w:rFonts w:ascii="Arial" w:eastAsia="Times New Roman" w:hAnsi="Arial" w:cs="Arial"/>
                <w:color w:val="000000"/>
              </w:rPr>
              <w:t>%)</w:t>
            </w:r>
          </w:p>
        </w:tc>
        <w:tc>
          <w:tcPr>
            <w:tcW w:w="2140" w:type="dxa"/>
            <w:noWrap/>
            <w:hideMark/>
          </w:tcPr>
          <w:p w14:paraId="01045464"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134 </w:t>
            </w:r>
            <w:proofErr w:type="gramStart"/>
            <w:r w:rsidRPr="000C6FB1">
              <w:rPr>
                <w:rFonts w:ascii="Arial" w:eastAsia="Times New Roman" w:hAnsi="Arial" w:cs="Arial"/>
                <w:color w:val="000000"/>
              </w:rPr>
              <w:t>( 6.2</w:t>
            </w:r>
            <w:proofErr w:type="gramEnd"/>
            <w:r w:rsidRPr="000C6FB1">
              <w:rPr>
                <w:rFonts w:ascii="Arial" w:eastAsia="Times New Roman" w:hAnsi="Arial" w:cs="Arial"/>
                <w:color w:val="000000"/>
              </w:rPr>
              <w:t>%)</w:t>
            </w:r>
          </w:p>
        </w:tc>
        <w:tc>
          <w:tcPr>
            <w:tcW w:w="960" w:type="dxa"/>
            <w:noWrap/>
            <w:hideMark/>
          </w:tcPr>
          <w:p w14:paraId="1E263155"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41AB3EAA" w14:textId="77777777" w:rsidTr="004536F0">
        <w:trPr>
          <w:trHeight w:val="300"/>
        </w:trPr>
        <w:tc>
          <w:tcPr>
            <w:tcW w:w="5090" w:type="dxa"/>
            <w:noWrap/>
            <w:hideMark/>
          </w:tcPr>
          <w:p w14:paraId="2BB0B4BA"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themeColor="text1"/>
                <w:sz w:val="20"/>
              </w:rPr>
              <w:t>Troponin I median(mean ± SD)</w:t>
            </w:r>
          </w:p>
        </w:tc>
        <w:tc>
          <w:tcPr>
            <w:tcW w:w="2230" w:type="dxa"/>
            <w:noWrap/>
            <w:hideMark/>
          </w:tcPr>
          <w:p w14:paraId="3512141F"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0.40 ( 2.7 ± 8.3)</w:t>
            </w:r>
          </w:p>
        </w:tc>
        <w:tc>
          <w:tcPr>
            <w:tcW w:w="2140" w:type="dxa"/>
            <w:noWrap/>
            <w:hideMark/>
          </w:tcPr>
          <w:p w14:paraId="119AA6DB"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0.55 ( 2.9 ± 7.4)</w:t>
            </w:r>
          </w:p>
        </w:tc>
        <w:tc>
          <w:tcPr>
            <w:tcW w:w="2140" w:type="dxa"/>
            <w:noWrap/>
            <w:hideMark/>
          </w:tcPr>
          <w:p w14:paraId="74FFDEDF"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0.29 ( 2.6 ± 9.1)</w:t>
            </w:r>
          </w:p>
        </w:tc>
        <w:tc>
          <w:tcPr>
            <w:tcW w:w="960" w:type="dxa"/>
            <w:noWrap/>
            <w:hideMark/>
          </w:tcPr>
          <w:p w14:paraId="1715FD83"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0.2572</w:t>
            </w:r>
          </w:p>
        </w:tc>
      </w:tr>
      <w:tr w:rsidR="000C6FB1" w:rsidRPr="000C6FB1" w14:paraId="5B77C903" w14:textId="77777777" w:rsidTr="004536F0">
        <w:trPr>
          <w:trHeight w:val="300"/>
        </w:trPr>
        <w:tc>
          <w:tcPr>
            <w:tcW w:w="5090" w:type="dxa"/>
            <w:noWrap/>
            <w:hideMark/>
          </w:tcPr>
          <w:p w14:paraId="618FE2D0"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Charlson Score</w:t>
            </w:r>
            <w:r w:rsidRPr="000C6FB1">
              <w:rPr>
                <w:rFonts w:ascii="Arial" w:eastAsia="Times New Roman" w:hAnsi="Arial" w:cs="Arial"/>
                <w:b/>
                <w:bCs/>
                <w:color w:val="000000"/>
                <w:sz w:val="20"/>
                <w:szCs w:val="20"/>
                <w:vertAlign w:val="superscript"/>
              </w:rPr>
              <w:t>5</w:t>
            </w:r>
            <w:r w:rsidRPr="000C6FB1">
              <w:rPr>
                <w:rFonts w:ascii="Arial" w:eastAsia="Times New Roman" w:hAnsi="Arial" w:cs="Arial"/>
                <w:b/>
                <w:bCs/>
                <w:color w:val="000000"/>
                <w:sz w:val="20"/>
                <w:szCs w:val="20"/>
              </w:rPr>
              <w:t xml:space="preserve"> median(mean ± SD)</w:t>
            </w:r>
          </w:p>
        </w:tc>
        <w:tc>
          <w:tcPr>
            <w:tcW w:w="2230" w:type="dxa"/>
            <w:noWrap/>
            <w:hideMark/>
          </w:tcPr>
          <w:p w14:paraId="67FD2458"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3.0 ( 2.8 ± 1.6)</w:t>
            </w:r>
          </w:p>
        </w:tc>
        <w:tc>
          <w:tcPr>
            <w:tcW w:w="2140" w:type="dxa"/>
            <w:noWrap/>
            <w:hideMark/>
          </w:tcPr>
          <w:p w14:paraId="75683B8D"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3.0 ( 2.8 ± 1.6)</w:t>
            </w:r>
          </w:p>
        </w:tc>
        <w:tc>
          <w:tcPr>
            <w:tcW w:w="2140" w:type="dxa"/>
            <w:noWrap/>
            <w:hideMark/>
          </w:tcPr>
          <w:p w14:paraId="3AC18C88"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3.0 ( 2.8 ± 1.6)</w:t>
            </w:r>
          </w:p>
        </w:tc>
        <w:tc>
          <w:tcPr>
            <w:tcW w:w="960" w:type="dxa"/>
            <w:noWrap/>
            <w:hideMark/>
          </w:tcPr>
          <w:p w14:paraId="2E38FE12"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0.1026</w:t>
            </w:r>
          </w:p>
        </w:tc>
      </w:tr>
      <w:tr w:rsidR="000C6FB1" w:rsidRPr="000C6FB1" w14:paraId="74B89068" w14:textId="77777777" w:rsidTr="004536F0">
        <w:trPr>
          <w:trHeight w:val="300"/>
        </w:trPr>
        <w:tc>
          <w:tcPr>
            <w:tcW w:w="5090" w:type="dxa"/>
            <w:noWrap/>
            <w:hideMark/>
          </w:tcPr>
          <w:p w14:paraId="1D675514"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COPS2</w:t>
            </w:r>
            <w:r w:rsidRPr="000C6FB1">
              <w:rPr>
                <w:rFonts w:ascii="Arial" w:eastAsia="Times New Roman" w:hAnsi="Arial" w:cs="Arial"/>
                <w:b/>
                <w:bCs/>
                <w:color w:val="000000"/>
                <w:sz w:val="20"/>
                <w:szCs w:val="20"/>
                <w:vertAlign w:val="superscript"/>
              </w:rPr>
              <w:t>6</w:t>
            </w:r>
            <w:r w:rsidRPr="000C6FB1">
              <w:rPr>
                <w:rFonts w:ascii="Arial" w:eastAsia="Times New Roman" w:hAnsi="Arial" w:cs="Arial"/>
                <w:b/>
                <w:bCs/>
                <w:color w:val="000000"/>
                <w:sz w:val="20"/>
                <w:szCs w:val="20"/>
              </w:rPr>
              <w:t xml:space="preserve"> median(mean ± SD)</w:t>
            </w:r>
          </w:p>
        </w:tc>
        <w:tc>
          <w:tcPr>
            <w:tcW w:w="2230" w:type="dxa"/>
            <w:noWrap/>
            <w:hideMark/>
          </w:tcPr>
          <w:p w14:paraId="2037A3B4"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21.0 ( 36.5 ± 35.3)</w:t>
            </w:r>
          </w:p>
        </w:tc>
        <w:tc>
          <w:tcPr>
            <w:tcW w:w="2140" w:type="dxa"/>
            <w:noWrap/>
            <w:hideMark/>
          </w:tcPr>
          <w:p w14:paraId="118FF627"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23.0 ( 37.8 ± 35.9)</w:t>
            </w:r>
          </w:p>
        </w:tc>
        <w:tc>
          <w:tcPr>
            <w:tcW w:w="2140" w:type="dxa"/>
            <w:noWrap/>
            <w:hideMark/>
          </w:tcPr>
          <w:p w14:paraId="5AE2EDC3"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18.0 ( 35.1 ± 34.7)</w:t>
            </w:r>
          </w:p>
        </w:tc>
        <w:tc>
          <w:tcPr>
            <w:tcW w:w="960" w:type="dxa"/>
            <w:noWrap/>
            <w:hideMark/>
          </w:tcPr>
          <w:p w14:paraId="4EC84980" w14:textId="7BDAE5D2"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0.0130</w:t>
            </w:r>
          </w:p>
        </w:tc>
      </w:tr>
      <w:tr w:rsidR="000C6FB1" w:rsidRPr="000C6FB1" w14:paraId="03D62373" w14:textId="77777777" w:rsidTr="004536F0">
        <w:trPr>
          <w:trHeight w:val="300"/>
        </w:trPr>
        <w:tc>
          <w:tcPr>
            <w:tcW w:w="5090" w:type="dxa"/>
            <w:noWrap/>
            <w:hideMark/>
          </w:tcPr>
          <w:p w14:paraId="6788EEF9"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LAPS2</w:t>
            </w:r>
            <w:r w:rsidRPr="000C6FB1">
              <w:rPr>
                <w:rFonts w:ascii="Arial" w:eastAsia="Times New Roman" w:hAnsi="Arial" w:cs="Arial"/>
                <w:b/>
                <w:bCs/>
                <w:color w:val="000000"/>
                <w:sz w:val="20"/>
                <w:szCs w:val="20"/>
                <w:vertAlign w:val="superscript"/>
              </w:rPr>
              <w:t>7</w:t>
            </w:r>
            <w:r w:rsidRPr="000C6FB1">
              <w:rPr>
                <w:rFonts w:ascii="Arial" w:eastAsia="Times New Roman" w:hAnsi="Arial" w:cs="Arial"/>
                <w:b/>
                <w:bCs/>
                <w:color w:val="000000"/>
                <w:sz w:val="20"/>
                <w:szCs w:val="20"/>
              </w:rPr>
              <w:t xml:space="preserve"> (median, mean ± SD)</w:t>
            </w:r>
          </w:p>
        </w:tc>
        <w:tc>
          <w:tcPr>
            <w:tcW w:w="2230" w:type="dxa"/>
            <w:noWrap/>
            <w:hideMark/>
          </w:tcPr>
          <w:p w14:paraId="0B44B6C7"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27.0 ( 40.6 ± 47.2)</w:t>
            </w:r>
          </w:p>
        </w:tc>
        <w:tc>
          <w:tcPr>
            <w:tcW w:w="2140" w:type="dxa"/>
            <w:noWrap/>
            <w:hideMark/>
          </w:tcPr>
          <w:p w14:paraId="6624AE7B"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29.0 ( 40.3 ± 46.4)</w:t>
            </w:r>
          </w:p>
        </w:tc>
        <w:tc>
          <w:tcPr>
            <w:tcW w:w="2140" w:type="dxa"/>
            <w:noWrap/>
            <w:hideMark/>
          </w:tcPr>
          <w:p w14:paraId="28469BBF"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26.0 ( 40.9 ± 48.0)</w:t>
            </w:r>
          </w:p>
        </w:tc>
        <w:tc>
          <w:tcPr>
            <w:tcW w:w="960" w:type="dxa"/>
            <w:noWrap/>
            <w:hideMark/>
          </w:tcPr>
          <w:p w14:paraId="37D1B9EA"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0.6639</w:t>
            </w:r>
          </w:p>
        </w:tc>
      </w:tr>
      <w:tr w:rsidR="000C6FB1" w:rsidRPr="000C6FB1" w14:paraId="113D7BDB" w14:textId="77777777" w:rsidTr="004536F0">
        <w:trPr>
          <w:trHeight w:val="300"/>
        </w:trPr>
        <w:tc>
          <w:tcPr>
            <w:tcW w:w="5090" w:type="dxa"/>
            <w:noWrap/>
            <w:hideMark/>
          </w:tcPr>
          <w:p w14:paraId="491A934C"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Length of stay in ED (hours) (median, mean ± SD)</w:t>
            </w:r>
          </w:p>
        </w:tc>
        <w:tc>
          <w:tcPr>
            <w:tcW w:w="2230" w:type="dxa"/>
            <w:noWrap/>
            <w:hideMark/>
          </w:tcPr>
          <w:p w14:paraId="1B919E02"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5.7 ( 5.6 ± 2.7)</w:t>
            </w:r>
          </w:p>
        </w:tc>
        <w:tc>
          <w:tcPr>
            <w:tcW w:w="2140" w:type="dxa"/>
            <w:noWrap/>
            <w:hideMark/>
          </w:tcPr>
          <w:p w14:paraId="3C676C92"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5.7 ( 5.7 ± 2.3)</w:t>
            </w:r>
          </w:p>
        </w:tc>
        <w:tc>
          <w:tcPr>
            <w:tcW w:w="2140" w:type="dxa"/>
            <w:noWrap/>
            <w:hideMark/>
          </w:tcPr>
          <w:p w14:paraId="66BCFF91"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5.70 ( 5.5 ± 3.1)</w:t>
            </w:r>
          </w:p>
        </w:tc>
        <w:tc>
          <w:tcPr>
            <w:tcW w:w="960" w:type="dxa"/>
            <w:noWrap/>
            <w:hideMark/>
          </w:tcPr>
          <w:p w14:paraId="7BA55868"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0.1142</w:t>
            </w:r>
          </w:p>
        </w:tc>
      </w:tr>
      <w:tr w:rsidR="000C6FB1" w:rsidRPr="000C6FB1" w14:paraId="4F2DAD46" w14:textId="77777777" w:rsidTr="004536F0">
        <w:trPr>
          <w:trHeight w:val="300"/>
        </w:trPr>
        <w:tc>
          <w:tcPr>
            <w:tcW w:w="5090" w:type="dxa"/>
            <w:noWrap/>
            <w:hideMark/>
          </w:tcPr>
          <w:p w14:paraId="7EC52D96"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Patients receiving aspirin within 24 hours</w:t>
            </w:r>
            <w:r w:rsidRPr="000C6FB1">
              <w:rPr>
                <w:rFonts w:ascii="Arial" w:eastAsia="Times New Roman" w:hAnsi="Arial" w:cs="Arial"/>
                <w:b/>
                <w:bCs/>
                <w:color w:val="000000"/>
                <w:sz w:val="20"/>
                <w:szCs w:val="20"/>
                <w:vertAlign w:val="superscript"/>
              </w:rPr>
              <w:t>8</w:t>
            </w:r>
          </w:p>
        </w:tc>
        <w:tc>
          <w:tcPr>
            <w:tcW w:w="2230" w:type="dxa"/>
            <w:noWrap/>
            <w:hideMark/>
          </w:tcPr>
          <w:p w14:paraId="6D72DA1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4,130 </w:t>
            </w:r>
            <w:proofErr w:type="gramStart"/>
            <w:r w:rsidRPr="000C6FB1">
              <w:rPr>
                <w:rFonts w:ascii="Arial" w:eastAsia="Times New Roman" w:hAnsi="Arial" w:cs="Arial"/>
                <w:color w:val="000000"/>
              </w:rPr>
              <w:t>( 96.0</w:t>
            </w:r>
            <w:proofErr w:type="gramEnd"/>
            <w:r w:rsidRPr="000C6FB1">
              <w:rPr>
                <w:rFonts w:ascii="Arial" w:eastAsia="Times New Roman" w:hAnsi="Arial" w:cs="Arial"/>
                <w:color w:val="000000"/>
              </w:rPr>
              <w:t>%)</w:t>
            </w:r>
          </w:p>
        </w:tc>
        <w:tc>
          <w:tcPr>
            <w:tcW w:w="2140" w:type="dxa"/>
            <w:noWrap/>
            <w:hideMark/>
          </w:tcPr>
          <w:p w14:paraId="6A247A57"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2,109 </w:t>
            </w:r>
            <w:proofErr w:type="gramStart"/>
            <w:r w:rsidRPr="000C6FB1">
              <w:rPr>
                <w:rFonts w:ascii="Arial" w:eastAsia="Times New Roman" w:hAnsi="Arial" w:cs="Arial"/>
                <w:color w:val="000000"/>
              </w:rPr>
              <w:t>( 98.0</w:t>
            </w:r>
            <w:proofErr w:type="gramEnd"/>
            <w:r w:rsidRPr="000C6FB1">
              <w:rPr>
                <w:rFonts w:ascii="Arial" w:eastAsia="Times New Roman" w:hAnsi="Arial" w:cs="Arial"/>
                <w:color w:val="000000"/>
              </w:rPr>
              <w:t>%)</w:t>
            </w:r>
          </w:p>
        </w:tc>
        <w:tc>
          <w:tcPr>
            <w:tcW w:w="2140" w:type="dxa"/>
            <w:noWrap/>
            <w:hideMark/>
          </w:tcPr>
          <w:p w14:paraId="1476566A"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2,021 </w:t>
            </w:r>
            <w:proofErr w:type="gramStart"/>
            <w:r w:rsidRPr="000C6FB1">
              <w:rPr>
                <w:rFonts w:ascii="Arial" w:eastAsia="Times New Roman" w:hAnsi="Arial" w:cs="Arial"/>
                <w:color w:val="000000"/>
              </w:rPr>
              <w:t>( 93.9</w:t>
            </w:r>
            <w:proofErr w:type="gramEnd"/>
            <w:r w:rsidRPr="000C6FB1">
              <w:rPr>
                <w:rFonts w:ascii="Arial" w:eastAsia="Times New Roman" w:hAnsi="Arial" w:cs="Arial"/>
                <w:color w:val="000000"/>
              </w:rPr>
              <w:t>%)</w:t>
            </w:r>
          </w:p>
        </w:tc>
        <w:tc>
          <w:tcPr>
            <w:tcW w:w="960" w:type="dxa"/>
            <w:noWrap/>
            <w:hideMark/>
          </w:tcPr>
          <w:p w14:paraId="1ADDEF2F"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4BC7882A" w14:textId="77777777" w:rsidTr="004536F0">
        <w:trPr>
          <w:trHeight w:val="300"/>
        </w:trPr>
        <w:tc>
          <w:tcPr>
            <w:tcW w:w="5090" w:type="dxa"/>
            <w:noWrap/>
            <w:hideMark/>
          </w:tcPr>
          <w:p w14:paraId="265D300C"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Patients receiving anticoagulation therapy</w:t>
            </w:r>
            <w:r w:rsidRPr="000C6FB1">
              <w:rPr>
                <w:rFonts w:ascii="Arial" w:eastAsia="Times New Roman" w:hAnsi="Arial" w:cs="Arial"/>
                <w:b/>
                <w:bCs/>
                <w:color w:val="000000"/>
                <w:sz w:val="20"/>
                <w:szCs w:val="20"/>
                <w:vertAlign w:val="superscript"/>
              </w:rPr>
              <w:t>8</w:t>
            </w:r>
          </w:p>
        </w:tc>
        <w:tc>
          <w:tcPr>
            <w:tcW w:w="2230" w:type="dxa"/>
            <w:noWrap/>
            <w:hideMark/>
          </w:tcPr>
          <w:p w14:paraId="6008F92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3,422 </w:t>
            </w:r>
            <w:proofErr w:type="gramStart"/>
            <w:r w:rsidRPr="000C6FB1">
              <w:rPr>
                <w:rFonts w:ascii="Arial" w:eastAsia="Times New Roman" w:hAnsi="Arial" w:cs="Arial"/>
                <w:color w:val="000000"/>
              </w:rPr>
              <w:t>( 79.5</w:t>
            </w:r>
            <w:proofErr w:type="gramEnd"/>
            <w:r w:rsidRPr="000C6FB1">
              <w:rPr>
                <w:rFonts w:ascii="Arial" w:eastAsia="Times New Roman" w:hAnsi="Arial" w:cs="Arial"/>
                <w:color w:val="000000"/>
              </w:rPr>
              <w:t>%)</w:t>
            </w:r>
          </w:p>
        </w:tc>
        <w:tc>
          <w:tcPr>
            <w:tcW w:w="2140" w:type="dxa"/>
            <w:noWrap/>
            <w:hideMark/>
          </w:tcPr>
          <w:p w14:paraId="534A266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1,757 </w:t>
            </w:r>
            <w:proofErr w:type="gramStart"/>
            <w:r w:rsidRPr="000C6FB1">
              <w:rPr>
                <w:rFonts w:ascii="Arial" w:eastAsia="Times New Roman" w:hAnsi="Arial" w:cs="Arial"/>
                <w:color w:val="000000"/>
              </w:rPr>
              <w:t>( 81.6</w:t>
            </w:r>
            <w:proofErr w:type="gramEnd"/>
            <w:r w:rsidRPr="000C6FB1">
              <w:rPr>
                <w:rFonts w:ascii="Arial" w:eastAsia="Times New Roman" w:hAnsi="Arial" w:cs="Arial"/>
                <w:color w:val="000000"/>
              </w:rPr>
              <w:t>%)</w:t>
            </w:r>
          </w:p>
        </w:tc>
        <w:tc>
          <w:tcPr>
            <w:tcW w:w="2140" w:type="dxa"/>
            <w:noWrap/>
            <w:hideMark/>
          </w:tcPr>
          <w:p w14:paraId="5EAF2457"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1,665 </w:t>
            </w:r>
            <w:proofErr w:type="gramStart"/>
            <w:r w:rsidRPr="000C6FB1">
              <w:rPr>
                <w:rFonts w:ascii="Arial" w:eastAsia="Times New Roman" w:hAnsi="Arial" w:cs="Arial"/>
                <w:color w:val="000000"/>
              </w:rPr>
              <w:t>( 77.4</w:t>
            </w:r>
            <w:proofErr w:type="gramEnd"/>
            <w:r w:rsidRPr="000C6FB1">
              <w:rPr>
                <w:rFonts w:ascii="Arial" w:eastAsia="Times New Roman" w:hAnsi="Arial" w:cs="Arial"/>
                <w:color w:val="000000"/>
              </w:rPr>
              <w:t>%)</w:t>
            </w:r>
          </w:p>
        </w:tc>
        <w:tc>
          <w:tcPr>
            <w:tcW w:w="960" w:type="dxa"/>
            <w:noWrap/>
            <w:hideMark/>
          </w:tcPr>
          <w:p w14:paraId="0011F3ED"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0.0005</w:t>
            </w:r>
          </w:p>
        </w:tc>
      </w:tr>
      <w:tr w:rsidR="000C6FB1" w:rsidRPr="000C6FB1" w14:paraId="503E0587" w14:textId="77777777" w:rsidTr="004536F0">
        <w:trPr>
          <w:trHeight w:val="300"/>
        </w:trPr>
        <w:tc>
          <w:tcPr>
            <w:tcW w:w="5090" w:type="dxa"/>
            <w:noWrap/>
            <w:hideMark/>
          </w:tcPr>
          <w:p w14:paraId="40BF8E86"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Patients receiving beta blockers</w:t>
            </w:r>
            <w:r w:rsidRPr="000C6FB1">
              <w:rPr>
                <w:rFonts w:ascii="Arial" w:eastAsia="Times New Roman" w:hAnsi="Arial" w:cs="Arial"/>
                <w:b/>
                <w:bCs/>
                <w:color w:val="000000"/>
                <w:sz w:val="20"/>
                <w:szCs w:val="20"/>
                <w:vertAlign w:val="superscript"/>
              </w:rPr>
              <w:t>8</w:t>
            </w:r>
          </w:p>
        </w:tc>
        <w:tc>
          <w:tcPr>
            <w:tcW w:w="2230" w:type="dxa"/>
            <w:noWrap/>
            <w:hideMark/>
          </w:tcPr>
          <w:p w14:paraId="0FCB74F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3,690 </w:t>
            </w:r>
            <w:proofErr w:type="gramStart"/>
            <w:r w:rsidRPr="000C6FB1">
              <w:rPr>
                <w:rFonts w:ascii="Arial" w:eastAsia="Times New Roman" w:hAnsi="Arial" w:cs="Arial"/>
                <w:color w:val="000000"/>
              </w:rPr>
              <w:t>( 85.7</w:t>
            </w:r>
            <w:proofErr w:type="gramEnd"/>
            <w:r w:rsidRPr="000C6FB1">
              <w:rPr>
                <w:rFonts w:ascii="Arial" w:eastAsia="Times New Roman" w:hAnsi="Arial" w:cs="Arial"/>
                <w:color w:val="000000"/>
              </w:rPr>
              <w:t>%)</w:t>
            </w:r>
          </w:p>
        </w:tc>
        <w:tc>
          <w:tcPr>
            <w:tcW w:w="2140" w:type="dxa"/>
            <w:noWrap/>
            <w:hideMark/>
          </w:tcPr>
          <w:p w14:paraId="0B51CEE4"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1,920 </w:t>
            </w:r>
            <w:proofErr w:type="gramStart"/>
            <w:r w:rsidRPr="000C6FB1">
              <w:rPr>
                <w:rFonts w:ascii="Arial" w:eastAsia="Times New Roman" w:hAnsi="Arial" w:cs="Arial"/>
                <w:color w:val="000000"/>
              </w:rPr>
              <w:t>( 89.2</w:t>
            </w:r>
            <w:proofErr w:type="gramEnd"/>
            <w:r w:rsidRPr="000C6FB1">
              <w:rPr>
                <w:rFonts w:ascii="Arial" w:eastAsia="Times New Roman" w:hAnsi="Arial" w:cs="Arial"/>
                <w:color w:val="000000"/>
              </w:rPr>
              <w:t>%)</w:t>
            </w:r>
          </w:p>
        </w:tc>
        <w:tc>
          <w:tcPr>
            <w:tcW w:w="2140" w:type="dxa"/>
            <w:noWrap/>
            <w:hideMark/>
          </w:tcPr>
          <w:p w14:paraId="5C7AC10A"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1,770 </w:t>
            </w:r>
            <w:proofErr w:type="gramStart"/>
            <w:r w:rsidRPr="000C6FB1">
              <w:rPr>
                <w:rFonts w:ascii="Arial" w:eastAsia="Times New Roman" w:hAnsi="Arial" w:cs="Arial"/>
                <w:color w:val="000000"/>
              </w:rPr>
              <w:t>( 82.3</w:t>
            </w:r>
            <w:proofErr w:type="gramEnd"/>
            <w:r w:rsidRPr="000C6FB1">
              <w:rPr>
                <w:rFonts w:ascii="Arial" w:eastAsia="Times New Roman" w:hAnsi="Arial" w:cs="Arial"/>
                <w:color w:val="000000"/>
              </w:rPr>
              <w:t>%)</w:t>
            </w:r>
          </w:p>
        </w:tc>
        <w:tc>
          <w:tcPr>
            <w:tcW w:w="960" w:type="dxa"/>
            <w:noWrap/>
            <w:hideMark/>
          </w:tcPr>
          <w:p w14:paraId="6C4C9005"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368CD618" w14:textId="77777777" w:rsidTr="004536F0">
        <w:trPr>
          <w:trHeight w:val="300"/>
        </w:trPr>
        <w:tc>
          <w:tcPr>
            <w:tcW w:w="5090" w:type="dxa"/>
            <w:noWrap/>
            <w:hideMark/>
          </w:tcPr>
          <w:p w14:paraId="7666F3AA"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Patients receiving ACE inhibitors or ARBs</w:t>
            </w:r>
            <w:r w:rsidRPr="000C6FB1">
              <w:rPr>
                <w:rFonts w:ascii="Arial" w:eastAsia="Times New Roman" w:hAnsi="Arial" w:cs="Arial"/>
                <w:b/>
                <w:bCs/>
                <w:color w:val="000000"/>
                <w:sz w:val="20"/>
                <w:szCs w:val="20"/>
                <w:vertAlign w:val="superscript"/>
              </w:rPr>
              <w:t>8</w:t>
            </w:r>
          </w:p>
        </w:tc>
        <w:tc>
          <w:tcPr>
            <w:tcW w:w="2230" w:type="dxa"/>
            <w:noWrap/>
            <w:hideMark/>
          </w:tcPr>
          <w:p w14:paraId="669EC8FA"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2,558 </w:t>
            </w:r>
            <w:proofErr w:type="gramStart"/>
            <w:r w:rsidRPr="000C6FB1">
              <w:rPr>
                <w:rFonts w:ascii="Arial" w:eastAsia="Times New Roman" w:hAnsi="Arial" w:cs="Arial"/>
                <w:color w:val="000000"/>
              </w:rPr>
              <w:t>( 59.4</w:t>
            </w:r>
            <w:proofErr w:type="gramEnd"/>
            <w:r w:rsidRPr="000C6FB1">
              <w:rPr>
                <w:rFonts w:ascii="Arial" w:eastAsia="Times New Roman" w:hAnsi="Arial" w:cs="Arial"/>
                <w:color w:val="000000"/>
              </w:rPr>
              <w:t>%)</w:t>
            </w:r>
          </w:p>
        </w:tc>
        <w:tc>
          <w:tcPr>
            <w:tcW w:w="2140" w:type="dxa"/>
            <w:noWrap/>
            <w:hideMark/>
          </w:tcPr>
          <w:p w14:paraId="74910133"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1,420 </w:t>
            </w:r>
            <w:proofErr w:type="gramStart"/>
            <w:r w:rsidRPr="000C6FB1">
              <w:rPr>
                <w:rFonts w:ascii="Arial" w:eastAsia="Times New Roman" w:hAnsi="Arial" w:cs="Arial"/>
                <w:color w:val="000000"/>
              </w:rPr>
              <w:t>( 66.0</w:t>
            </w:r>
            <w:proofErr w:type="gramEnd"/>
            <w:r w:rsidRPr="000C6FB1">
              <w:rPr>
                <w:rFonts w:ascii="Arial" w:eastAsia="Times New Roman" w:hAnsi="Arial" w:cs="Arial"/>
                <w:color w:val="000000"/>
              </w:rPr>
              <w:t>%)</w:t>
            </w:r>
          </w:p>
        </w:tc>
        <w:tc>
          <w:tcPr>
            <w:tcW w:w="2140" w:type="dxa"/>
            <w:noWrap/>
            <w:hideMark/>
          </w:tcPr>
          <w:p w14:paraId="79E7EE52"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1,138 </w:t>
            </w:r>
            <w:proofErr w:type="gramStart"/>
            <w:r w:rsidRPr="000C6FB1">
              <w:rPr>
                <w:rFonts w:ascii="Arial" w:eastAsia="Times New Roman" w:hAnsi="Arial" w:cs="Arial"/>
                <w:color w:val="000000"/>
              </w:rPr>
              <w:t>( 52.9</w:t>
            </w:r>
            <w:proofErr w:type="gramEnd"/>
            <w:r w:rsidRPr="000C6FB1">
              <w:rPr>
                <w:rFonts w:ascii="Arial" w:eastAsia="Times New Roman" w:hAnsi="Arial" w:cs="Arial"/>
                <w:color w:val="000000"/>
              </w:rPr>
              <w:t>%)</w:t>
            </w:r>
          </w:p>
        </w:tc>
        <w:tc>
          <w:tcPr>
            <w:tcW w:w="960" w:type="dxa"/>
            <w:noWrap/>
            <w:hideMark/>
          </w:tcPr>
          <w:p w14:paraId="51AEB61A"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6E84E58B" w14:textId="77777777" w:rsidTr="004536F0">
        <w:trPr>
          <w:trHeight w:val="300"/>
        </w:trPr>
        <w:tc>
          <w:tcPr>
            <w:tcW w:w="5090" w:type="dxa"/>
            <w:noWrap/>
            <w:hideMark/>
          </w:tcPr>
          <w:p w14:paraId="53FE179B"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Patients receiving statins</w:t>
            </w:r>
            <w:r w:rsidRPr="000C6FB1">
              <w:rPr>
                <w:rFonts w:ascii="Arial" w:eastAsia="Times New Roman" w:hAnsi="Arial" w:cs="Arial"/>
                <w:b/>
                <w:bCs/>
                <w:color w:val="000000"/>
                <w:sz w:val="20"/>
                <w:szCs w:val="20"/>
                <w:vertAlign w:val="superscript"/>
              </w:rPr>
              <w:t>8</w:t>
            </w:r>
          </w:p>
        </w:tc>
        <w:tc>
          <w:tcPr>
            <w:tcW w:w="2230" w:type="dxa"/>
            <w:noWrap/>
            <w:hideMark/>
          </w:tcPr>
          <w:p w14:paraId="55DC7AB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3,843 </w:t>
            </w:r>
            <w:proofErr w:type="gramStart"/>
            <w:r w:rsidRPr="000C6FB1">
              <w:rPr>
                <w:rFonts w:ascii="Arial" w:eastAsia="Times New Roman" w:hAnsi="Arial" w:cs="Arial"/>
                <w:color w:val="000000"/>
              </w:rPr>
              <w:t>( 89.3</w:t>
            </w:r>
            <w:proofErr w:type="gramEnd"/>
            <w:r w:rsidRPr="000C6FB1">
              <w:rPr>
                <w:rFonts w:ascii="Arial" w:eastAsia="Times New Roman" w:hAnsi="Arial" w:cs="Arial"/>
                <w:color w:val="000000"/>
              </w:rPr>
              <w:t>%)</w:t>
            </w:r>
          </w:p>
        </w:tc>
        <w:tc>
          <w:tcPr>
            <w:tcW w:w="2140" w:type="dxa"/>
            <w:noWrap/>
            <w:hideMark/>
          </w:tcPr>
          <w:p w14:paraId="065B829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2,015 </w:t>
            </w:r>
            <w:proofErr w:type="gramStart"/>
            <w:r w:rsidRPr="000C6FB1">
              <w:rPr>
                <w:rFonts w:ascii="Arial" w:eastAsia="Times New Roman" w:hAnsi="Arial" w:cs="Arial"/>
                <w:color w:val="000000"/>
              </w:rPr>
              <w:t>( 93.6</w:t>
            </w:r>
            <w:proofErr w:type="gramEnd"/>
            <w:r w:rsidRPr="000C6FB1">
              <w:rPr>
                <w:rFonts w:ascii="Arial" w:eastAsia="Times New Roman" w:hAnsi="Arial" w:cs="Arial"/>
                <w:color w:val="000000"/>
              </w:rPr>
              <w:t>%)</w:t>
            </w:r>
          </w:p>
        </w:tc>
        <w:tc>
          <w:tcPr>
            <w:tcW w:w="2140" w:type="dxa"/>
            <w:noWrap/>
            <w:hideMark/>
          </w:tcPr>
          <w:p w14:paraId="7FAC92DE"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1,828 </w:t>
            </w:r>
            <w:proofErr w:type="gramStart"/>
            <w:r w:rsidRPr="000C6FB1">
              <w:rPr>
                <w:rFonts w:ascii="Arial" w:eastAsia="Times New Roman" w:hAnsi="Arial" w:cs="Arial"/>
                <w:color w:val="000000"/>
              </w:rPr>
              <w:t>( 84.9</w:t>
            </w:r>
            <w:proofErr w:type="gramEnd"/>
            <w:r w:rsidRPr="000C6FB1">
              <w:rPr>
                <w:rFonts w:ascii="Arial" w:eastAsia="Times New Roman" w:hAnsi="Arial" w:cs="Arial"/>
                <w:color w:val="000000"/>
              </w:rPr>
              <w:t>%)</w:t>
            </w:r>
          </w:p>
        </w:tc>
        <w:tc>
          <w:tcPr>
            <w:tcW w:w="960" w:type="dxa"/>
            <w:noWrap/>
            <w:hideMark/>
          </w:tcPr>
          <w:p w14:paraId="1A8B5692"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124DCE93" w14:textId="77777777" w:rsidTr="004536F0">
        <w:trPr>
          <w:trHeight w:val="300"/>
        </w:trPr>
        <w:tc>
          <w:tcPr>
            <w:tcW w:w="5090" w:type="dxa"/>
            <w:noWrap/>
            <w:hideMark/>
          </w:tcPr>
          <w:p w14:paraId="7B6702C6"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 received 1 or more therapies</w:t>
            </w:r>
          </w:p>
        </w:tc>
        <w:tc>
          <w:tcPr>
            <w:tcW w:w="2230" w:type="dxa"/>
            <w:noWrap/>
            <w:hideMark/>
          </w:tcPr>
          <w:p w14:paraId="39E25ABE"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4,289 (99.7%)</w:t>
            </w:r>
          </w:p>
        </w:tc>
        <w:tc>
          <w:tcPr>
            <w:tcW w:w="2140" w:type="dxa"/>
            <w:noWrap/>
            <w:hideMark/>
          </w:tcPr>
          <w:p w14:paraId="3BC00BC2"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2,152 (100.0%)</w:t>
            </w:r>
          </w:p>
        </w:tc>
        <w:tc>
          <w:tcPr>
            <w:tcW w:w="2140" w:type="dxa"/>
            <w:noWrap/>
            <w:hideMark/>
          </w:tcPr>
          <w:p w14:paraId="518FD80F"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2,137 (99.3%)</w:t>
            </w:r>
          </w:p>
        </w:tc>
        <w:tc>
          <w:tcPr>
            <w:tcW w:w="960" w:type="dxa"/>
            <w:noWrap/>
            <w:hideMark/>
          </w:tcPr>
          <w:p w14:paraId="16609556"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0.0001</w:t>
            </w:r>
          </w:p>
        </w:tc>
      </w:tr>
      <w:tr w:rsidR="000C6FB1" w:rsidRPr="000C6FB1" w14:paraId="51006853" w14:textId="77777777" w:rsidTr="004536F0">
        <w:trPr>
          <w:trHeight w:val="300"/>
        </w:trPr>
        <w:tc>
          <w:tcPr>
            <w:tcW w:w="5090" w:type="dxa"/>
            <w:noWrap/>
            <w:hideMark/>
          </w:tcPr>
          <w:p w14:paraId="4DFA9812"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 received 2 or more therapies</w:t>
            </w:r>
          </w:p>
        </w:tc>
        <w:tc>
          <w:tcPr>
            <w:tcW w:w="2230" w:type="dxa"/>
            <w:noWrap/>
            <w:hideMark/>
          </w:tcPr>
          <w:p w14:paraId="21A8CCFF"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4,221 (98.1%)</w:t>
            </w:r>
          </w:p>
        </w:tc>
        <w:tc>
          <w:tcPr>
            <w:tcW w:w="2140" w:type="dxa"/>
            <w:noWrap/>
            <w:hideMark/>
          </w:tcPr>
          <w:p w14:paraId="63CD2009"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2,143 (99.6%)</w:t>
            </w:r>
          </w:p>
        </w:tc>
        <w:tc>
          <w:tcPr>
            <w:tcW w:w="2140" w:type="dxa"/>
            <w:noWrap/>
            <w:hideMark/>
          </w:tcPr>
          <w:p w14:paraId="4F52EB76"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2,078 (96.6%)</w:t>
            </w:r>
          </w:p>
        </w:tc>
        <w:tc>
          <w:tcPr>
            <w:tcW w:w="960" w:type="dxa"/>
            <w:noWrap/>
            <w:hideMark/>
          </w:tcPr>
          <w:p w14:paraId="3B1FE0D0"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69ECE567" w14:textId="77777777" w:rsidTr="004536F0">
        <w:trPr>
          <w:trHeight w:val="300"/>
        </w:trPr>
        <w:tc>
          <w:tcPr>
            <w:tcW w:w="5090" w:type="dxa"/>
            <w:noWrap/>
            <w:hideMark/>
          </w:tcPr>
          <w:p w14:paraId="17AF0D0D"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 received 3 or more therapies</w:t>
            </w:r>
          </w:p>
        </w:tc>
        <w:tc>
          <w:tcPr>
            <w:tcW w:w="2230" w:type="dxa"/>
            <w:noWrap/>
            <w:hideMark/>
          </w:tcPr>
          <w:p w14:paraId="3194577B"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4,006 (93.1%)</w:t>
            </w:r>
          </w:p>
        </w:tc>
        <w:tc>
          <w:tcPr>
            <w:tcW w:w="2140" w:type="dxa"/>
            <w:noWrap/>
            <w:hideMark/>
          </w:tcPr>
          <w:p w14:paraId="22ECE686"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2,087 (97.0%)</w:t>
            </w:r>
          </w:p>
        </w:tc>
        <w:tc>
          <w:tcPr>
            <w:tcW w:w="2140" w:type="dxa"/>
            <w:noWrap/>
            <w:hideMark/>
          </w:tcPr>
          <w:p w14:paraId="7554582D"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1,919 (89.2%)</w:t>
            </w:r>
          </w:p>
        </w:tc>
        <w:tc>
          <w:tcPr>
            <w:tcW w:w="960" w:type="dxa"/>
            <w:noWrap/>
            <w:hideMark/>
          </w:tcPr>
          <w:p w14:paraId="3FC7AAB6"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398FB047" w14:textId="77777777" w:rsidTr="004536F0">
        <w:trPr>
          <w:trHeight w:val="300"/>
        </w:trPr>
        <w:tc>
          <w:tcPr>
            <w:tcW w:w="5090" w:type="dxa"/>
            <w:noWrap/>
            <w:hideMark/>
          </w:tcPr>
          <w:p w14:paraId="40297FBA"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 received 4 or more therapies</w:t>
            </w:r>
          </w:p>
        </w:tc>
        <w:tc>
          <w:tcPr>
            <w:tcW w:w="2230" w:type="dxa"/>
            <w:noWrap/>
            <w:hideMark/>
          </w:tcPr>
          <w:p w14:paraId="1315DE36"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3,317 (77.1%)</w:t>
            </w:r>
          </w:p>
        </w:tc>
        <w:tc>
          <w:tcPr>
            <w:tcW w:w="2140" w:type="dxa"/>
            <w:noWrap/>
            <w:hideMark/>
          </w:tcPr>
          <w:p w14:paraId="48FA76B6"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1,803 (83.8%)</w:t>
            </w:r>
          </w:p>
        </w:tc>
        <w:tc>
          <w:tcPr>
            <w:tcW w:w="2140" w:type="dxa"/>
            <w:noWrap/>
            <w:hideMark/>
          </w:tcPr>
          <w:p w14:paraId="4BA90DB1"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1,514 (70.4%)</w:t>
            </w:r>
          </w:p>
        </w:tc>
        <w:tc>
          <w:tcPr>
            <w:tcW w:w="960" w:type="dxa"/>
            <w:noWrap/>
            <w:hideMark/>
          </w:tcPr>
          <w:p w14:paraId="2F7F1685"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0AFAB50E" w14:textId="77777777" w:rsidTr="004536F0">
        <w:trPr>
          <w:trHeight w:val="300"/>
        </w:trPr>
        <w:tc>
          <w:tcPr>
            <w:tcW w:w="5090" w:type="dxa"/>
            <w:noWrap/>
            <w:hideMark/>
          </w:tcPr>
          <w:p w14:paraId="586A63F7"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Patient received all 5 therapies</w:t>
            </w:r>
          </w:p>
        </w:tc>
        <w:tc>
          <w:tcPr>
            <w:tcW w:w="2230" w:type="dxa"/>
            <w:noWrap/>
            <w:hideMark/>
          </w:tcPr>
          <w:p w14:paraId="0489E236"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1,810 (42.1%)</w:t>
            </w:r>
          </w:p>
        </w:tc>
        <w:tc>
          <w:tcPr>
            <w:tcW w:w="2140" w:type="dxa"/>
            <w:noWrap/>
            <w:hideMark/>
          </w:tcPr>
          <w:p w14:paraId="38B7DF2D"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1,036 (48.1%)</w:t>
            </w:r>
          </w:p>
        </w:tc>
        <w:tc>
          <w:tcPr>
            <w:tcW w:w="2140" w:type="dxa"/>
            <w:noWrap/>
            <w:hideMark/>
          </w:tcPr>
          <w:p w14:paraId="00F9859D"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774 (36.0%)</w:t>
            </w:r>
          </w:p>
        </w:tc>
        <w:tc>
          <w:tcPr>
            <w:tcW w:w="960" w:type="dxa"/>
            <w:noWrap/>
            <w:hideMark/>
          </w:tcPr>
          <w:p w14:paraId="7F87775A"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46415499" w14:textId="77777777" w:rsidTr="004536F0">
        <w:trPr>
          <w:trHeight w:val="300"/>
        </w:trPr>
        <w:tc>
          <w:tcPr>
            <w:tcW w:w="5090" w:type="dxa"/>
            <w:noWrap/>
            <w:hideMark/>
          </w:tcPr>
          <w:p w14:paraId="4F00949B"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Predicted mortality risk(%)</w:t>
            </w:r>
            <w:r w:rsidRPr="000C6FB1">
              <w:rPr>
                <w:rFonts w:ascii="Arial" w:eastAsia="Times New Roman" w:hAnsi="Arial" w:cs="Arial"/>
                <w:b/>
                <w:bCs/>
                <w:color w:val="000000"/>
                <w:sz w:val="20"/>
                <w:szCs w:val="20"/>
                <w:vertAlign w:val="superscript"/>
              </w:rPr>
              <w:t>9</w:t>
            </w:r>
            <w:r w:rsidRPr="000C6FB1">
              <w:rPr>
                <w:rFonts w:ascii="Arial" w:eastAsia="Times New Roman" w:hAnsi="Arial" w:cs="Arial"/>
                <w:b/>
                <w:bCs/>
                <w:color w:val="000000"/>
                <w:sz w:val="20"/>
                <w:szCs w:val="20"/>
              </w:rPr>
              <w:t>(</w:t>
            </w:r>
            <w:proofErr w:type="spellStart"/>
            <w:r w:rsidRPr="000C6FB1">
              <w:rPr>
                <w:rFonts w:ascii="Arial" w:eastAsia="Times New Roman" w:hAnsi="Arial" w:cs="Arial"/>
                <w:b/>
                <w:bCs/>
                <w:color w:val="000000"/>
                <w:sz w:val="20"/>
                <w:szCs w:val="20"/>
              </w:rPr>
              <w:t>median,mean</w:t>
            </w:r>
            <w:proofErr w:type="spellEnd"/>
            <w:r w:rsidRPr="000C6FB1">
              <w:rPr>
                <w:rFonts w:ascii="Arial" w:eastAsia="Times New Roman" w:hAnsi="Arial" w:cs="Arial"/>
                <w:b/>
                <w:bCs/>
                <w:color w:val="000000"/>
                <w:sz w:val="20"/>
                <w:szCs w:val="20"/>
              </w:rPr>
              <w:t xml:space="preserve"> ±SD)</w:t>
            </w:r>
          </w:p>
        </w:tc>
        <w:tc>
          <w:tcPr>
            <w:tcW w:w="2230" w:type="dxa"/>
            <w:noWrap/>
            <w:hideMark/>
          </w:tcPr>
          <w:p w14:paraId="6451D2D3"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1.2 ( 4.3 ± 9.5)</w:t>
            </w:r>
          </w:p>
        </w:tc>
        <w:tc>
          <w:tcPr>
            <w:tcW w:w="2140" w:type="dxa"/>
            <w:noWrap/>
            <w:hideMark/>
          </w:tcPr>
          <w:p w14:paraId="3211E4A9"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1.1 ( 3.7 ± 7.9)</w:t>
            </w:r>
          </w:p>
        </w:tc>
        <w:tc>
          <w:tcPr>
            <w:tcW w:w="2140" w:type="dxa"/>
            <w:noWrap/>
            <w:hideMark/>
          </w:tcPr>
          <w:p w14:paraId="737DF278"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1.2 ( 4.8 ± 10.8)</w:t>
            </w:r>
          </w:p>
        </w:tc>
        <w:tc>
          <w:tcPr>
            <w:tcW w:w="960" w:type="dxa"/>
            <w:noWrap/>
            <w:hideMark/>
          </w:tcPr>
          <w:p w14:paraId="41CBE5F2"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&lt;0.0001</w:t>
            </w:r>
          </w:p>
        </w:tc>
      </w:tr>
      <w:tr w:rsidR="000C6FB1" w:rsidRPr="000C6FB1" w14:paraId="4EC81524" w14:textId="77777777" w:rsidTr="004536F0">
        <w:trPr>
          <w:trHeight w:val="300"/>
        </w:trPr>
        <w:tc>
          <w:tcPr>
            <w:tcW w:w="5090" w:type="dxa"/>
            <w:noWrap/>
            <w:hideMark/>
          </w:tcPr>
          <w:p w14:paraId="535749B2"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Full code at time of hospital entry</w:t>
            </w:r>
            <w:r w:rsidRPr="000C6FB1">
              <w:rPr>
                <w:rFonts w:ascii="Arial" w:eastAsia="Times New Roman" w:hAnsi="Arial" w:cs="Arial"/>
                <w:b/>
                <w:bCs/>
                <w:color w:val="000000"/>
                <w:sz w:val="20"/>
                <w:szCs w:val="20"/>
                <w:vertAlign w:val="superscript"/>
              </w:rPr>
              <w:t>10</w:t>
            </w:r>
            <w:r w:rsidRPr="000C6FB1">
              <w:rPr>
                <w:rFonts w:ascii="Arial" w:eastAsia="Times New Roman" w:hAnsi="Arial" w:cs="Arial"/>
                <w:b/>
                <w:bCs/>
                <w:color w:val="000000"/>
                <w:sz w:val="20"/>
                <w:szCs w:val="20"/>
              </w:rPr>
              <w:t xml:space="preserve"> (%)</w:t>
            </w:r>
          </w:p>
        </w:tc>
        <w:tc>
          <w:tcPr>
            <w:tcW w:w="2230" w:type="dxa"/>
            <w:noWrap/>
            <w:hideMark/>
          </w:tcPr>
          <w:p w14:paraId="56B322E1"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3,732 </w:t>
            </w:r>
            <w:proofErr w:type="gramStart"/>
            <w:r w:rsidRPr="000C6FB1">
              <w:rPr>
                <w:rFonts w:ascii="Arial" w:eastAsia="Times New Roman" w:hAnsi="Arial" w:cs="Arial"/>
                <w:color w:val="000000"/>
              </w:rPr>
              <w:t>( 86.7</w:t>
            </w:r>
            <w:proofErr w:type="gramEnd"/>
            <w:r w:rsidRPr="000C6FB1">
              <w:rPr>
                <w:rFonts w:ascii="Arial" w:eastAsia="Times New Roman" w:hAnsi="Arial" w:cs="Arial"/>
                <w:color w:val="000000"/>
              </w:rPr>
              <w:t>%)</w:t>
            </w:r>
          </w:p>
        </w:tc>
        <w:tc>
          <w:tcPr>
            <w:tcW w:w="2140" w:type="dxa"/>
            <w:noWrap/>
            <w:hideMark/>
          </w:tcPr>
          <w:p w14:paraId="314DFD3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1,859 </w:t>
            </w:r>
            <w:proofErr w:type="gramStart"/>
            <w:r w:rsidRPr="000C6FB1">
              <w:rPr>
                <w:rFonts w:ascii="Arial" w:eastAsia="Times New Roman" w:hAnsi="Arial" w:cs="Arial"/>
                <w:color w:val="000000"/>
              </w:rPr>
              <w:t>( 86.4</w:t>
            </w:r>
            <w:proofErr w:type="gramEnd"/>
            <w:r w:rsidRPr="000C6FB1">
              <w:rPr>
                <w:rFonts w:ascii="Arial" w:eastAsia="Times New Roman" w:hAnsi="Arial" w:cs="Arial"/>
                <w:color w:val="000000"/>
              </w:rPr>
              <w:t>%)</w:t>
            </w:r>
          </w:p>
        </w:tc>
        <w:tc>
          <w:tcPr>
            <w:tcW w:w="2140" w:type="dxa"/>
            <w:noWrap/>
            <w:hideMark/>
          </w:tcPr>
          <w:p w14:paraId="17F6E00C"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1,873 </w:t>
            </w:r>
            <w:proofErr w:type="gramStart"/>
            <w:r w:rsidRPr="000C6FB1">
              <w:rPr>
                <w:rFonts w:ascii="Arial" w:eastAsia="Times New Roman" w:hAnsi="Arial" w:cs="Arial"/>
                <w:color w:val="000000"/>
              </w:rPr>
              <w:t>( 87.0</w:t>
            </w:r>
            <w:proofErr w:type="gramEnd"/>
            <w:r w:rsidRPr="000C6FB1">
              <w:rPr>
                <w:rFonts w:ascii="Arial" w:eastAsia="Times New Roman" w:hAnsi="Arial" w:cs="Arial"/>
                <w:color w:val="000000"/>
              </w:rPr>
              <w:t>%)</w:t>
            </w:r>
          </w:p>
        </w:tc>
        <w:tc>
          <w:tcPr>
            <w:tcW w:w="960" w:type="dxa"/>
            <w:noWrap/>
            <w:hideMark/>
          </w:tcPr>
          <w:p w14:paraId="74FDFC61"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0.5296</w:t>
            </w:r>
          </w:p>
        </w:tc>
      </w:tr>
      <w:tr w:rsidR="000C6FB1" w:rsidRPr="000C6FB1" w14:paraId="7A913291" w14:textId="77777777" w:rsidTr="004536F0">
        <w:trPr>
          <w:trHeight w:val="300"/>
        </w:trPr>
        <w:tc>
          <w:tcPr>
            <w:tcW w:w="5090" w:type="dxa"/>
            <w:noWrap/>
            <w:hideMark/>
          </w:tcPr>
          <w:p w14:paraId="6CDFE250"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Admitted to ICU</w:t>
            </w:r>
            <w:r w:rsidRPr="000C6FB1">
              <w:rPr>
                <w:rFonts w:ascii="Arial" w:eastAsia="Times New Roman" w:hAnsi="Arial" w:cs="Arial"/>
                <w:b/>
                <w:bCs/>
                <w:color w:val="000000"/>
                <w:sz w:val="20"/>
                <w:szCs w:val="20"/>
                <w:vertAlign w:val="superscript"/>
              </w:rPr>
              <w:t>11</w:t>
            </w:r>
            <w:r w:rsidRPr="000C6FB1">
              <w:rPr>
                <w:rFonts w:ascii="Arial" w:eastAsia="Times New Roman" w:hAnsi="Arial" w:cs="Arial"/>
                <w:b/>
                <w:bCs/>
                <w:color w:val="000000"/>
                <w:sz w:val="20"/>
                <w:szCs w:val="20"/>
              </w:rPr>
              <w:t xml:space="preserve"> (%)</w:t>
            </w:r>
          </w:p>
        </w:tc>
        <w:tc>
          <w:tcPr>
            <w:tcW w:w="2230" w:type="dxa"/>
            <w:noWrap/>
            <w:hideMark/>
          </w:tcPr>
          <w:p w14:paraId="63FA07E7" w14:textId="77777777" w:rsidR="000C6FB1" w:rsidRPr="000C6FB1" w:rsidRDefault="000C6FB1" w:rsidP="00B9712C">
            <w:pPr>
              <w:jc w:val="center"/>
              <w:rPr>
                <w:rFonts w:ascii="Arial" w:eastAsia="Times New Roman" w:hAnsi="Arial" w:cs="Arial"/>
                <w:color w:val="000000"/>
              </w:rPr>
            </w:pPr>
          </w:p>
        </w:tc>
        <w:tc>
          <w:tcPr>
            <w:tcW w:w="2140" w:type="dxa"/>
            <w:noWrap/>
            <w:hideMark/>
          </w:tcPr>
          <w:p w14:paraId="0A0E17E4" w14:textId="77777777" w:rsidR="000C6FB1" w:rsidRPr="000C6FB1" w:rsidRDefault="000C6FB1" w:rsidP="00B9712C">
            <w:pPr>
              <w:jc w:val="center"/>
              <w:rPr>
                <w:rFonts w:ascii="Arial" w:eastAsia="Times New Roman" w:hAnsi="Arial" w:cs="Arial"/>
                <w:color w:val="000000"/>
              </w:rPr>
            </w:pPr>
          </w:p>
        </w:tc>
        <w:tc>
          <w:tcPr>
            <w:tcW w:w="2140" w:type="dxa"/>
            <w:noWrap/>
            <w:hideMark/>
          </w:tcPr>
          <w:p w14:paraId="59B739AD" w14:textId="77777777" w:rsidR="000C6FB1" w:rsidRPr="000C6FB1" w:rsidRDefault="000C6FB1" w:rsidP="00B9712C">
            <w:pPr>
              <w:jc w:val="center"/>
              <w:rPr>
                <w:rFonts w:ascii="Arial" w:eastAsia="Times New Roman" w:hAnsi="Arial" w:cs="Arial"/>
                <w:color w:val="000000"/>
              </w:rPr>
            </w:pPr>
          </w:p>
        </w:tc>
        <w:tc>
          <w:tcPr>
            <w:tcW w:w="960" w:type="dxa"/>
            <w:noWrap/>
            <w:hideMark/>
          </w:tcPr>
          <w:p w14:paraId="652C965C" w14:textId="77777777" w:rsidR="000C6FB1" w:rsidRPr="000C6FB1" w:rsidRDefault="000C6FB1" w:rsidP="00B9712C">
            <w:pPr>
              <w:jc w:val="right"/>
              <w:rPr>
                <w:rFonts w:ascii="Arial" w:eastAsia="Times New Roman" w:hAnsi="Arial" w:cs="Arial"/>
                <w:color w:val="000000"/>
              </w:rPr>
            </w:pPr>
          </w:p>
        </w:tc>
      </w:tr>
      <w:tr w:rsidR="000C6FB1" w:rsidRPr="000C6FB1" w14:paraId="512EF2D6" w14:textId="77777777" w:rsidTr="004536F0">
        <w:trPr>
          <w:trHeight w:val="300"/>
        </w:trPr>
        <w:tc>
          <w:tcPr>
            <w:tcW w:w="5090" w:type="dxa"/>
            <w:noWrap/>
            <w:hideMark/>
          </w:tcPr>
          <w:p w14:paraId="2F4DDB24"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 xml:space="preserve">            Direct admit (%)</w:t>
            </w:r>
          </w:p>
        </w:tc>
        <w:tc>
          <w:tcPr>
            <w:tcW w:w="2230" w:type="dxa"/>
            <w:noWrap/>
            <w:hideMark/>
          </w:tcPr>
          <w:p w14:paraId="58DCAE4C"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1,081 </w:t>
            </w:r>
            <w:proofErr w:type="gramStart"/>
            <w:r w:rsidRPr="000C6FB1">
              <w:rPr>
                <w:rFonts w:ascii="Arial" w:eastAsia="Times New Roman" w:hAnsi="Arial" w:cs="Arial"/>
                <w:color w:val="000000"/>
              </w:rPr>
              <w:t>( 25.1</w:t>
            </w:r>
            <w:proofErr w:type="gramEnd"/>
            <w:r w:rsidRPr="000C6FB1">
              <w:rPr>
                <w:rFonts w:ascii="Arial" w:eastAsia="Times New Roman" w:hAnsi="Arial" w:cs="Arial"/>
                <w:color w:val="000000"/>
              </w:rPr>
              <w:t>%)</w:t>
            </w:r>
          </w:p>
        </w:tc>
        <w:tc>
          <w:tcPr>
            <w:tcW w:w="2140" w:type="dxa"/>
            <w:noWrap/>
            <w:hideMark/>
          </w:tcPr>
          <w:p w14:paraId="2517789F"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572 </w:t>
            </w:r>
            <w:proofErr w:type="gramStart"/>
            <w:r w:rsidRPr="000C6FB1">
              <w:rPr>
                <w:rFonts w:ascii="Arial" w:eastAsia="Times New Roman" w:hAnsi="Arial" w:cs="Arial"/>
                <w:color w:val="000000"/>
              </w:rPr>
              <w:t>( 26.6</w:t>
            </w:r>
            <w:proofErr w:type="gramEnd"/>
            <w:r w:rsidRPr="000C6FB1">
              <w:rPr>
                <w:rFonts w:ascii="Arial" w:eastAsia="Times New Roman" w:hAnsi="Arial" w:cs="Arial"/>
                <w:color w:val="000000"/>
              </w:rPr>
              <w:t>%)</w:t>
            </w:r>
          </w:p>
        </w:tc>
        <w:tc>
          <w:tcPr>
            <w:tcW w:w="2140" w:type="dxa"/>
            <w:noWrap/>
            <w:hideMark/>
          </w:tcPr>
          <w:p w14:paraId="107B2B87"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509 </w:t>
            </w:r>
            <w:proofErr w:type="gramStart"/>
            <w:r w:rsidRPr="000C6FB1">
              <w:rPr>
                <w:rFonts w:ascii="Arial" w:eastAsia="Times New Roman" w:hAnsi="Arial" w:cs="Arial"/>
                <w:color w:val="000000"/>
              </w:rPr>
              <w:t>( 23.7</w:t>
            </w:r>
            <w:proofErr w:type="gramEnd"/>
            <w:r w:rsidRPr="000C6FB1">
              <w:rPr>
                <w:rFonts w:ascii="Arial" w:eastAsia="Times New Roman" w:hAnsi="Arial" w:cs="Arial"/>
                <w:color w:val="000000"/>
              </w:rPr>
              <w:t>%)</w:t>
            </w:r>
          </w:p>
        </w:tc>
        <w:tc>
          <w:tcPr>
            <w:tcW w:w="960" w:type="dxa"/>
            <w:noWrap/>
            <w:hideMark/>
          </w:tcPr>
          <w:p w14:paraId="6041A39F"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0.0268</w:t>
            </w:r>
          </w:p>
        </w:tc>
      </w:tr>
      <w:tr w:rsidR="000C6FB1" w:rsidRPr="000C6FB1" w14:paraId="088D18A3" w14:textId="77777777" w:rsidTr="004536F0">
        <w:trPr>
          <w:trHeight w:val="300"/>
        </w:trPr>
        <w:tc>
          <w:tcPr>
            <w:tcW w:w="5090" w:type="dxa"/>
            <w:noWrap/>
            <w:hideMark/>
          </w:tcPr>
          <w:p w14:paraId="1126E10C"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 xml:space="preserve">            Unplanned Transfer (%)</w:t>
            </w:r>
          </w:p>
        </w:tc>
        <w:tc>
          <w:tcPr>
            <w:tcW w:w="2230" w:type="dxa"/>
            <w:noWrap/>
            <w:hideMark/>
          </w:tcPr>
          <w:p w14:paraId="1B945304"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278 </w:t>
            </w:r>
            <w:proofErr w:type="gramStart"/>
            <w:r w:rsidRPr="000C6FB1">
              <w:rPr>
                <w:rFonts w:ascii="Arial" w:eastAsia="Times New Roman" w:hAnsi="Arial" w:cs="Arial"/>
                <w:color w:val="000000"/>
              </w:rPr>
              <w:t>( 6.5</w:t>
            </w:r>
            <w:proofErr w:type="gramEnd"/>
            <w:r w:rsidRPr="000C6FB1">
              <w:rPr>
                <w:rFonts w:ascii="Arial" w:eastAsia="Times New Roman" w:hAnsi="Arial" w:cs="Arial"/>
                <w:color w:val="000000"/>
              </w:rPr>
              <w:t>%)</w:t>
            </w:r>
          </w:p>
        </w:tc>
        <w:tc>
          <w:tcPr>
            <w:tcW w:w="2140" w:type="dxa"/>
            <w:noWrap/>
            <w:hideMark/>
          </w:tcPr>
          <w:p w14:paraId="24418923"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152 </w:t>
            </w:r>
            <w:proofErr w:type="gramStart"/>
            <w:r w:rsidRPr="000C6FB1">
              <w:rPr>
                <w:rFonts w:ascii="Arial" w:eastAsia="Times New Roman" w:hAnsi="Arial" w:cs="Arial"/>
                <w:color w:val="000000"/>
              </w:rPr>
              <w:t>( 7.1</w:t>
            </w:r>
            <w:proofErr w:type="gramEnd"/>
            <w:r w:rsidRPr="000C6FB1">
              <w:rPr>
                <w:rFonts w:ascii="Arial" w:eastAsia="Times New Roman" w:hAnsi="Arial" w:cs="Arial"/>
                <w:color w:val="000000"/>
              </w:rPr>
              <w:t>%)</w:t>
            </w:r>
          </w:p>
        </w:tc>
        <w:tc>
          <w:tcPr>
            <w:tcW w:w="2140" w:type="dxa"/>
            <w:noWrap/>
            <w:hideMark/>
          </w:tcPr>
          <w:p w14:paraId="0136BE8A"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126 </w:t>
            </w:r>
            <w:proofErr w:type="gramStart"/>
            <w:r w:rsidRPr="000C6FB1">
              <w:rPr>
                <w:rFonts w:ascii="Arial" w:eastAsia="Times New Roman" w:hAnsi="Arial" w:cs="Arial"/>
                <w:color w:val="000000"/>
              </w:rPr>
              <w:t>( 5.9</w:t>
            </w:r>
            <w:proofErr w:type="gramEnd"/>
            <w:r w:rsidRPr="000C6FB1">
              <w:rPr>
                <w:rFonts w:ascii="Arial" w:eastAsia="Times New Roman" w:hAnsi="Arial" w:cs="Arial"/>
                <w:color w:val="000000"/>
              </w:rPr>
              <w:t>%)</w:t>
            </w:r>
          </w:p>
        </w:tc>
        <w:tc>
          <w:tcPr>
            <w:tcW w:w="960" w:type="dxa"/>
            <w:noWrap/>
            <w:hideMark/>
          </w:tcPr>
          <w:p w14:paraId="2C3857CD"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0.1069</w:t>
            </w:r>
          </w:p>
        </w:tc>
      </w:tr>
      <w:tr w:rsidR="000C6FB1" w:rsidRPr="000C6FB1" w14:paraId="6F157D61" w14:textId="77777777" w:rsidTr="004536F0">
        <w:trPr>
          <w:trHeight w:val="300"/>
        </w:trPr>
        <w:tc>
          <w:tcPr>
            <w:tcW w:w="5090" w:type="dxa"/>
            <w:noWrap/>
            <w:hideMark/>
          </w:tcPr>
          <w:p w14:paraId="27F6D6EE"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lastRenderedPageBreak/>
              <w:t xml:space="preserve">            Ever (%)</w:t>
            </w:r>
          </w:p>
        </w:tc>
        <w:tc>
          <w:tcPr>
            <w:tcW w:w="2230" w:type="dxa"/>
            <w:noWrap/>
            <w:hideMark/>
          </w:tcPr>
          <w:p w14:paraId="43A04303"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1,854 </w:t>
            </w:r>
            <w:proofErr w:type="gramStart"/>
            <w:r w:rsidRPr="000C6FB1">
              <w:rPr>
                <w:rFonts w:ascii="Arial" w:eastAsia="Times New Roman" w:hAnsi="Arial" w:cs="Arial"/>
                <w:color w:val="000000"/>
              </w:rPr>
              <w:t>( 43.1</w:t>
            </w:r>
            <w:proofErr w:type="gramEnd"/>
            <w:r w:rsidRPr="000C6FB1">
              <w:rPr>
                <w:rFonts w:ascii="Arial" w:eastAsia="Times New Roman" w:hAnsi="Arial" w:cs="Arial"/>
                <w:color w:val="000000"/>
              </w:rPr>
              <w:t>%)</w:t>
            </w:r>
          </w:p>
        </w:tc>
        <w:tc>
          <w:tcPr>
            <w:tcW w:w="2140" w:type="dxa"/>
            <w:noWrap/>
            <w:hideMark/>
          </w:tcPr>
          <w:p w14:paraId="7637A46A"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864 </w:t>
            </w:r>
            <w:proofErr w:type="gramStart"/>
            <w:r w:rsidRPr="000C6FB1">
              <w:rPr>
                <w:rFonts w:ascii="Arial" w:eastAsia="Times New Roman" w:hAnsi="Arial" w:cs="Arial"/>
                <w:color w:val="000000"/>
              </w:rPr>
              <w:t>( 40.2</w:t>
            </w:r>
            <w:proofErr w:type="gramEnd"/>
            <w:r w:rsidRPr="000C6FB1">
              <w:rPr>
                <w:rFonts w:ascii="Arial" w:eastAsia="Times New Roman" w:hAnsi="Arial" w:cs="Arial"/>
                <w:color w:val="000000"/>
              </w:rPr>
              <w:t>%)</w:t>
            </w:r>
          </w:p>
        </w:tc>
        <w:tc>
          <w:tcPr>
            <w:tcW w:w="2140" w:type="dxa"/>
            <w:noWrap/>
            <w:hideMark/>
          </w:tcPr>
          <w:p w14:paraId="4FAB6254"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990 </w:t>
            </w:r>
            <w:proofErr w:type="gramStart"/>
            <w:r w:rsidRPr="000C6FB1">
              <w:rPr>
                <w:rFonts w:ascii="Arial" w:eastAsia="Times New Roman" w:hAnsi="Arial" w:cs="Arial"/>
                <w:color w:val="000000"/>
              </w:rPr>
              <w:t>( 46.0</w:t>
            </w:r>
            <w:proofErr w:type="gramEnd"/>
            <w:r w:rsidRPr="000C6FB1">
              <w:rPr>
                <w:rFonts w:ascii="Arial" w:eastAsia="Times New Roman" w:hAnsi="Arial" w:cs="Arial"/>
                <w:color w:val="000000"/>
              </w:rPr>
              <w:t>%)</w:t>
            </w:r>
          </w:p>
        </w:tc>
        <w:tc>
          <w:tcPr>
            <w:tcW w:w="960" w:type="dxa"/>
            <w:noWrap/>
            <w:hideMark/>
          </w:tcPr>
          <w:p w14:paraId="7CE8190A"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0.0001</w:t>
            </w:r>
          </w:p>
        </w:tc>
      </w:tr>
      <w:tr w:rsidR="000C6FB1" w:rsidRPr="000C6FB1" w14:paraId="734C582A" w14:textId="77777777" w:rsidTr="004536F0">
        <w:trPr>
          <w:trHeight w:val="300"/>
        </w:trPr>
        <w:tc>
          <w:tcPr>
            <w:tcW w:w="5090" w:type="dxa"/>
            <w:noWrap/>
            <w:hideMark/>
          </w:tcPr>
          <w:p w14:paraId="2677EFE5"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Length of stay (hours) (median, mean ± SD)</w:t>
            </w:r>
          </w:p>
        </w:tc>
        <w:tc>
          <w:tcPr>
            <w:tcW w:w="2230" w:type="dxa"/>
            <w:noWrap/>
            <w:hideMark/>
          </w:tcPr>
          <w:p w14:paraId="623AEF31"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70.3 ( 114.3 ± 153.7)</w:t>
            </w:r>
          </w:p>
        </w:tc>
        <w:tc>
          <w:tcPr>
            <w:tcW w:w="2140" w:type="dxa"/>
            <w:noWrap/>
            <w:hideMark/>
          </w:tcPr>
          <w:p w14:paraId="09F7243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70.7 ( 113.3 ± 151.2)</w:t>
            </w:r>
          </w:p>
        </w:tc>
        <w:tc>
          <w:tcPr>
            <w:tcW w:w="2140" w:type="dxa"/>
            <w:noWrap/>
            <w:hideMark/>
          </w:tcPr>
          <w:p w14:paraId="693402CD"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70.0 ( 115.2 ± 156.2)</w:t>
            </w:r>
          </w:p>
        </w:tc>
        <w:tc>
          <w:tcPr>
            <w:tcW w:w="960" w:type="dxa"/>
            <w:noWrap/>
            <w:hideMark/>
          </w:tcPr>
          <w:p w14:paraId="0B5C699D"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0.6842</w:t>
            </w:r>
          </w:p>
        </w:tc>
      </w:tr>
      <w:tr w:rsidR="000C6FB1" w:rsidRPr="000C6FB1" w14:paraId="61003CE6" w14:textId="77777777" w:rsidTr="004536F0">
        <w:trPr>
          <w:trHeight w:val="300"/>
        </w:trPr>
        <w:tc>
          <w:tcPr>
            <w:tcW w:w="5090" w:type="dxa"/>
            <w:noWrap/>
            <w:hideMark/>
          </w:tcPr>
          <w:p w14:paraId="52DF42EF"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Inpatient mortality (%)</w:t>
            </w:r>
          </w:p>
        </w:tc>
        <w:tc>
          <w:tcPr>
            <w:tcW w:w="2230" w:type="dxa"/>
            <w:noWrap/>
            <w:hideMark/>
          </w:tcPr>
          <w:p w14:paraId="5A17B871"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235 </w:t>
            </w:r>
            <w:proofErr w:type="gramStart"/>
            <w:r w:rsidRPr="000C6FB1">
              <w:rPr>
                <w:rFonts w:ascii="Arial" w:eastAsia="Times New Roman" w:hAnsi="Arial" w:cs="Arial"/>
                <w:color w:val="000000"/>
              </w:rPr>
              <w:t>( 5.5</w:t>
            </w:r>
            <w:proofErr w:type="gramEnd"/>
            <w:r w:rsidRPr="000C6FB1">
              <w:rPr>
                <w:rFonts w:ascii="Arial" w:eastAsia="Times New Roman" w:hAnsi="Arial" w:cs="Arial"/>
                <w:color w:val="000000"/>
              </w:rPr>
              <w:t>%)</w:t>
            </w:r>
          </w:p>
        </w:tc>
        <w:tc>
          <w:tcPr>
            <w:tcW w:w="2140" w:type="dxa"/>
            <w:noWrap/>
            <w:hideMark/>
          </w:tcPr>
          <w:p w14:paraId="5B0BBD49"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96 </w:t>
            </w:r>
            <w:proofErr w:type="gramStart"/>
            <w:r w:rsidRPr="000C6FB1">
              <w:rPr>
                <w:rFonts w:ascii="Arial" w:eastAsia="Times New Roman" w:hAnsi="Arial" w:cs="Arial"/>
                <w:color w:val="000000"/>
              </w:rPr>
              <w:t>( 4.5</w:t>
            </w:r>
            <w:proofErr w:type="gramEnd"/>
            <w:r w:rsidRPr="000C6FB1">
              <w:rPr>
                <w:rFonts w:ascii="Arial" w:eastAsia="Times New Roman" w:hAnsi="Arial" w:cs="Arial"/>
                <w:color w:val="000000"/>
              </w:rPr>
              <w:t>%)</w:t>
            </w:r>
          </w:p>
        </w:tc>
        <w:tc>
          <w:tcPr>
            <w:tcW w:w="2140" w:type="dxa"/>
            <w:noWrap/>
            <w:hideMark/>
          </w:tcPr>
          <w:p w14:paraId="6C698B7C"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139 </w:t>
            </w:r>
            <w:proofErr w:type="gramStart"/>
            <w:r w:rsidRPr="000C6FB1">
              <w:rPr>
                <w:rFonts w:ascii="Arial" w:eastAsia="Times New Roman" w:hAnsi="Arial" w:cs="Arial"/>
                <w:color w:val="000000"/>
              </w:rPr>
              <w:t>( 6.5</w:t>
            </w:r>
            <w:proofErr w:type="gramEnd"/>
            <w:r w:rsidRPr="000C6FB1">
              <w:rPr>
                <w:rFonts w:ascii="Arial" w:eastAsia="Times New Roman" w:hAnsi="Arial" w:cs="Arial"/>
                <w:color w:val="000000"/>
              </w:rPr>
              <w:t>%)</w:t>
            </w:r>
          </w:p>
        </w:tc>
        <w:tc>
          <w:tcPr>
            <w:tcW w:w="960" w:type="dxa"/>
            <w:noWrap/>
            <w:hideMark/>
          </w:tcPr>
          <w:p w14:paraId="2818F874"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0.0039</w:t>
            </w:r>
          </w:p>
        </w:tc>
      </w:tr>
      <w:tr w:rsidR="000C6FB1" w:rsidRPr="000C6FB1" w14:paraId="798707B8" w14:textId="77777777" w:rsidTr="004536F0">
        <w:trPr>
          <w:trHeight w:val="300"/>
        </w:trPr>
        <w:tc>
          <w:tcPr>
            <w:tcW w:w="5090" w:type="dxa"/>
            <w:noWrap/>
            <w:hideMark/>
          </w:tcPr>
          <w:p w14:paraId="612D3DB0"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30 day mortality (%)</w:t>
            </w:r>
          </w:p>
        </w:tc>
        <w:tc>
          <w:tcPr>
            <w:tcW w:w="2230" w:type="dxa"/>
            <w:noWrap/>
            <w:hideMark/>
          </w:tcPr>
          <w:p w14:paraId="1FA465A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338 </w:t>
            </w:r>
            <w:proofErr w:type="gramStart"/>
            <w:r w:rsidRPr="000C6FB1">
              <w:rPr>
                <w:rFonts w:ascii="Arial" w:eastAsia="Times New Roman" w:hAnsi="Arial" w:cs="Arial"/>
                <w:color w:val="000000"/>
              </w:rPr>
              <w:t>( 7.9</w:t>
            </w:r>
            <w:proofErr w:type="gramEnd"/>
            <w:r w:rsidRPr="000C6FB1">
              <w:rPr>
                <w:rFonts w:ascii="Arial" w:eastAsia="Times New Roman" w:hAnsi="Arial" w:cs="Arial"/>
                <w:color w:val="000000"/>
              </w:rPr>
              <w:t>%)</w:t>
            </w:r>
          </w:p>
        </w:tc>
        <w:tc>
          <w:tcPr>
            <w:tcW w:w="2140" w:type="dxa"/>
            <w:noWrap/>
            <w:hideMark/>
          </w:tcPr>
          <w:p w14:paraId="00DB790E"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155 </w:t>
            </w:r>
            <w:proofErr w:type="gramStart"/>
            <w:r w:rsidRPr="000C6FB1">
              <w:rPr>
                <w:rFonts w:ascii="Arial" w:eastAsia="Times New Roman" w:hAnsi="Arial" w:cs="Arial"/>
                <w:color w:val="000000"/>
              </w:rPr>
              <w:t>( 7.2</w:t>
            </w:r>
            <w:proofErr w:type="gramEnd"/>
            <w:r w:rsidRPr="000C6FB1">
              <w:rPr>
                <w:rFonts w:ascii="Arial" w:eastAsia="Times New Roman" w:hAnsi="Arial" w:cs="Arial"/>
                <w:color w:val="000000"/>
              </w:rPr>
              <w:t>%)</w:t>
            </w:r>
          </w:p>
        </w:tc>
        <w:tc>
          <w:tcPr>
            <w:tcW w:w="2140" w:type="dxa"/>
            <w:noWrap/>
            <w:hideMark/>
          </w:tcPr>
          <w:p w14:paraId="7EBFBDF6"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183 </w:t>
            </w:r>
            <w:proofErr w:type="gramStart"/>
            <w:r w:rsidRPr="000C6FB1">
              <w:rPr>
                <w:rFonts w:ascii="Arial" w:eastAsia="Times New Roman" w:hAnsi="Arial" w:cs="Arial"/>
                <w:color w:val="000000"/>
              </w:rPr>
              <w:t>( 8.5</w:t>
            </w:r>
            <w:proofErr w:type="gramEnd"/>
            <w:r w:rsidRPr="000C6FB1">
              <w:rPr>
                <w:rFonts w:ascii="Arial" w:eastAsia="Times New Roman" w:hAnsi="Arial" w:cs="Arial"/>
                <w:color w:val="000000"/>
              </w:rPr>
              <w:t>%)</w:t>
            </w:r>
          </w:p>
        </w:tc>
        <w:tc>
          <w:tcPr>
            <w:tcW w:w="960" w:type="dxa"/>
            <w:noWrap/>
            <w:hideMark/>
          </w:tcPr>
          <w:p w14:paraId="1CE78932"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0.1126</w:t>
            </w:r>
          </w:p>
        </w:tc>
      </w:tr>
      <w:tr w:rsidR="000C6FB1" w:rsidRPr="000C6FB1" w14:paraId="2415817B" w14:textId="77777777" w:rsidTr="004536F0">
        <w:trPr>
          <w:trHeight w:val="300"/>
        </w:trPr>
        <w:tc>
          <w:tcPr>
            <w:tcW w:w="5090" w:type="dxa"/>
            <w:noWrap/>
            <w:hideMark/>
          </w:tcPr>
          <w:p w14:paraId="4C4025C3"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All cause rehospitalization within 30 days (%)</w:t>
            </w:r>
          </w:p>
        </w:tc>
        <w:tc>
          <w:tcPr>
            <w:tcW w:w="2230" w:type="dxa"/>
            <w:noWrap/>
            <w:hideMark/>
          </w:tcPr>
          <w:p w14:paraId="53F596B6"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790 </w:t>
            </w:r>
            <w:proofErr w:type="gramStart"/>
            <w:r w:rsidRPr="000C6FB1">
              <w:rPr>
                <w:rFonts w:ascii="Arial" w:eastAsia="Times New Roman" w:hAnsi="Arial" w:cs="Arial"/>
                <w:color w:val="000000"/>
              </w:rPr>
              <w:t>( 18.4</w:t>
            </w:r>
            <w:proofErr w:type="gramEnd"/>
            <w:r w:rsidRPr="000C6FB1">
              <w:rPr>
                <w:rFonts w:ascii="Arial" w:eastAsia="Times New Roman" w:hAnsi="Arial" w:cs="Arial"/>
                <w:color w:val="000000"/>
              </w:rPr>
              <w:t>%)</w:t>
            </w:r>
          </w:p>
        </w:tc>
        <w:tc>
          <w:tcPr>
            <w:tcW w:w="2140" w:type="dxa"/>
            <w:noWrap/>
            <w:hideMark/>
          </w:tcPr>
          <w:p w14:paraId="0FA39B0A"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413 </w:t>
            </w:r>
            <w:proofErr w:type="gramStart"/>
            <w:r w:rsidRPr="000C6FB1">
              <w:rPr>
                <w:rFonts w:ascii="Arial" w:eastAsia="Times New Roman" w:hAnsi="Arial" w:cs="Arial"/>
                <w:color w:val="000000"/>
              </w:rPr>
              <w:t>( 19.2</w:t>
            </w:r>
            <w:proofErr w:type="gramEnd"/>
            <w:r w:rsidRPr="000C6FB1">
              <w:rPr>
                <w:rFonts w:ascii="Arial" w:eastAsia="Times New Roman" w:hAnsi="Arial" w:cs="Arial"/>
                <w:color w:val="000000"/>
              </w:rPr>
              <w:t>%)</w:t>
            </w:r>
          </w:p>
        </w:tc>
        <w:tc>
          <w:tcPr>
            <w:tcW w:w="2140" w:type="dxa"/>
            <w:noWrap/>
            <w:hideMark/>
          </w:tcPr>
          <w:p w14:paraId="127F76B9"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377 </w:t>
            </w:r>
            <w:proofErr w:type="gramStart"/>
            <w:r w:rsidRPr="000C6FB1">
              <w:rPr>
                <w:rFonts w:ascii="Arial" w:eastAsia="Times New Roman" w:hAnsi="Arial" w:cs="Arial"/>
                <w:color w:val="000000"/>
              </w:rPr>
              <w:t>( 17.5</w:t>
            </w:r>
            <w:proofErr w:type="gramEnd"/>
            <w:r w:rsidRPr="000C6FB1">
              <w:rPr>
                <w:rFonts w:ascii="Arial" w:eastAsia="Times New Roman" w:hAnsi="Arial" w:cs="Arial"/>
                <w:color w:val="000000"/>
              </w:rPr>
              <w:t>%)</w:t>
            </w:r>
          </w:p>
        </w:tc>
        <w:tc>
          <w:tcPr>
            <w:tcW w:w="960" w:type="dxa"/>
            <w:noWrap/>
            <w:hideMark/>
          </w:tcPr>
          <w:p w14:paraId="3EFA5180" w14:textId="77777777"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0.1563</w:t>
            </w:r>
          </w:p>
        </w:tc>
      </w:tr>
      <w:tr w:rsidR="000C6FB1" w:rsidRPr="000C6FB1" w14:paraId="4E96C6C3" w14:textId="77777777" w:rsidTr="004536F0">
        <w:trPr>
          <w:trHeight w:val="300"/>
        </w:trPr>
        <w:tc>
          <w:tcPr>
            <w:tcW w:w="5090" w:type="dxa"/>
            <w:noWrap/>
            <w:hideMark/>
          </w:tcPr>
          <w:p w14:paraId="68150753"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 xml:space="preserve">Cardiac </w:t>
            </w:r>
            <w:proofErr w:type="spellStart"/>
            <w:r w:rsidRPr="000C6FB1">
              <w:rPr>
                <w:rFonts w:ascii="Arial" w:eastAsia="Times New Roman" w:hAnsi="Arial" w:cs="Arial"/>
                <w:b/>
                <w:bCs/>
                <w:color w:val="000000"/>
                <w:sz w:val="20"/>
              </w:rPr>
              <w:t>cath</w:t>
            </w:r>
            <w:proofErr w:type="spellEnd"/>
            <w:r w:rsidRPr="000C6FB1">
              <w:rPr>
                <w:rFonts w:ascii="Arial" w:eastAsia="Times New Roman" w:hAnsi="Arial" w:cs="Arial"/>
                <w:b/>
                <w:bCs/>
                <w:color w:val="000000"/>
                <w:sz w:val="20"/>
              </w:rPr>
              <w:t xml:space="preserve"> procedure referral timing</w:t>
            </w:r>
          </w:p>
        </w:tc>
        <w:tc>
          <w:tcPr>
            <w:tcW w:w="2230" w:type="dxa"/>
            <w:noWrap/>
            <w:hideMark/>
          </w:tcPr>
          <w:p w14:paraId="09C6EB79" w14:textId="77777777" w:rsidR="000C6FB1" w:rsidRPr="000C6FB1" w:rsidRDefault="000C6FB1" w:rsidP="00B9712C">
            <w:pPr>
              <w:jc w:val="center"/>
              <w:rPr>
                <w:rFonts w:ascii="Arial" w:eastAsia="Times New Roman" w:hAnsi="Arial" w:cs="Arial"/>
                <w:color w:val="000000"/>
              </w:rPr>
            </w:pPr>
          </w:p>
        </w:tc>
        <w:tc>
          <w:tcPr>
            <w:tcW w:w="2140" w:type="dxa"/>
            <w:noWrap/>
            <w:hideMark/>
          </w:tcPr>
          <w:p w14:paraId="2F443F26" w14:textId="77777777" w:rsidR="000C6FB1" w:rsidRPr="000C6FB1" w:rsidRDefault="000C6FB1" w:rsidP="00B9712C">
            <w:pPr>
              <w:jc w:val="center"/>
              <w:rPr>
                <w:rFonts w:ascii="Arial" w:eastAsia="Times New Roman" w:hAnsi="Arial" w:cs="Arial"/>
                <w:color w:val="000000"/>
              </w:rPr>
            </w:pPr>
          </w:p>
        </w:tc>
        <w:tc>
          <w:tcPr>
            <w:tcW w:w="2140" w:type="dxa"/>
            <w:noWrap/>
            <w:hideMark/>
          </w:tcPr>
          <w:p w14:paraId="68376580" w14:textId="77777777" w:rsidR="000C6FB1" w:rsidRPr="000C6FB1" w:rsidRDefault="000C6FB1" w:rsidP="00B9712C">
            <w:pPr>
              <w:jc w:val="center"/>
              <w:rPr>
                <w:rFonts w:ascii="Arial" w:eastAsia="Times New Roman" w:hAnsi="Arial" w:cs="Arial"/>
                <w:color w:val="000000"/>
              </w:rPr>
            </w:pPr>
          </w:p>
        </w:tc>
        <w:tc>
          <w:tcPr>
            <w:tcW w:w="960" w:type="dxa"/>
            <w:noWrap/>
            <w:hideMark/>
          </w:tcPr>
          <w:p w14:paraId="303DD164" w14:textId="77777777" w:rsidR="000C6FB1" w:rsidRPr="000C6FB1" w:rsidRDefault="000C6FB1" w:rsidP="00B9712C">
            <w:pPr>
              <w:jc w:val="right"/>
              <w:rPr>
                <w:rFonts w:ascii="Arial" w:eastAsia="Times New Roman" w:hAnsi="Arial" w:cs="Arial"/>
                <w:color w:val="000000"/>
              </w:rPr>
            </w:pPr>
          </w:p>
        </w:tc>
      </w:tr>
      <w:tr w:rsidR="000C6FB1" w:rsidRPr="000C6FB1" w14:paraId="145A0EDD" w14:textId="77777777" w:rsidTr="004536F0">
        <w:trPr>
          <w:trHeight w:val="300"/>
        </w:trPr>
        <w:tc>
          <w:tcPr>
            <w:tcW w:w="5090" w:type="dxa"/>
            <w:noWrap/>
            <w:hideMark/>
          </w:tcPr>
          <w:p w14:paraId="09541417"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 xml:space="preserve">            1 day pre </w:t>
            </w:r>
            <w:proofErr w:type="spellStart"/>
            <w:r w:rsidRPr="000C6FB1">
              <w:rPr>
                <w:rFonts w:ascii="Arial" w:eastAsia="Times New Roman" w:hAnsi="Arial" w:cs="Arial"/>
                <w:b/>
                <w:bCs/>
                <w:color w:val="000000"/>
                <w:sz w:val="20"/>
              </w:rPr>
              <w:t>adm</w:t>
            </w:r>
            <w:proofErr w:type="spellEnd"/>
            <w:r w:rsidRPr="000C6FB1">
              <w:rPr>
                <w:rFonts w:ascii="Arial" w:eastAsia="Times New Roman" w:hAnsi="Arial" w:cs="Arial"/>
                <w:b/>
                <w:bCs/>
                <w:color w:val="000000"/>
                <w:sz w:val="20"/>
              </w:rPr>
              <w:t xml:space="preserve"> to </w:t>
            </w:r>
            <w:proofErr w:type="spellStart"/>
            <w:r w:rsidRPr="000C6FB1">
              <w:rPr>
                <w:rFonts w:ascii="Arial" w:eastAsia="Times New Roman" w:hAnsi="Arial" w:cs="Arial"/>
                <w:b/>
                <w:bCs/>
                <w:color w:val="000000"/>
                <w:sz w:val="20"/>
              </w:rPr>
              <w:t>disch</w:t>
            </w:r>
            <w:proofErr w:type="spellEnd"/>
          </w:p>
        </w:tc>
        <w:tc>
          <w:tcPr>
            <w:tcW w:w="2230" w:type="dxa"/>
            <w:noWrap/>
            <w:hideMark/>
          </w:tcPr>
          <w:p w14:paraId="79936362"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2,344 </w:t>
            </w:r>
            <w:proofErr w:type="gramStart"/>
            <w:r w:rsidRPr="000C6FB1">
              <w:rPr>
                <w:rFonts w:ascii="Arial" w:eastAsia="Times New Roman" w:hAnsi="Arial" w:cs="Arial"/>
                <w:color w:val="000000"/>
              </w:rPr>
              <w:t>( 54.5</w:t>
            </w:r>
            <w:proofErr w:type="gramEnd"/>
            <w:r w:rsidRPr="000C6FB1">
              <w:rPr>
                <w:rFonts w:ascii="Arial" w:eastAsia="Times New Roman" w:hAnsi="Arial" w:cs="Arial"/>
                <w:color w:val="000000"/>
              </w:rPr>
              <w:t>%)</w:t>
            </w:r>
          </w:p>
        </w:tc>
        <w:tc>
          <w:tcPr>
            <w:tcW w:w="2140" w:type="dxa"/>
            <w:noWrap/>
            <w:hideMark/>
          </w:tcPr>
          <w:p w14:paraId="2658AD2D"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1,159 </w:t>
            </w:r>
            <w:proofErr w:type="gramStart"/>
            <w:r w:rsidRPr="000C6FB1">
              <w:rPr>
                <w:rFonts w:ascii="Arial" w:eastAsia="Times New Roman" w:hAnsi="Arial" w:cs="Arial"/>
                <w:color w:val="000000"/>
              </w:rPr>
              <w:t>( 53.9</w:t>
            </w:r>
            <w:proofErr w:type="gramEnd"/>
            <w:r w:rsidRPr="000C6FB1">
              <w:rPr>
                <w:rFonts w:ascii="Arial" w:eastAsia="Times New Roman" w:hAnsi="Arial" w:cs="Arial"/>
                <w:color w:val="000000"/>
              </w:rPr>
              <w:t>%)</w:t>
            </w:r>
          </w:p>
        </w:tc>
        <w:tc>
          <w:tcPr>
            <w:tcW w:w="2140" w:type="dxa"/>
            <w:noWrap/>
            <w:hideMark/>
          </w:tcPr>
          <w:p w14:paraId="32F85384"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1,185 </w:t>
            </w:r>
            <w:proofErr w:type="gramStart"/>
            <w:r w:rsidRPr="000C6FB1">
              <w:rPr>
                <w:rFonts w:ascii="Arial" w:eastAsia="Times New Roman" w:hAnsi="Arial" w:cs="Arial"/>
                <w:color w:val="000000"/>
              </w:rPr>
              <w:t>( 55.1</w:t>
            </w:r>
            <w:proofErr w:type="gramEnd"/>
            <w:r w:rsidRPr="000C6FB1">
              <w:rPr>
                <w:rFonts w:ascii="Arial" w:eastAsia="Times New Roman" w:hAnsi="Arial" w:cs="Arial"/>
                <w:color w:val="000000"/>
              </w:rPr>
              <w:t>%)</w:t>
            </w:r>
          </w:p>
        </w:tc>
        <w:tc>
          <w:tcPr>
            <w:tcW w:w="960" w:type="dxa"/>
            <w:noWrap/>
            <w:hideMark/>
          </w:tcPr>
          <w:p w14:paraId="7BA8C352" w14:textId="63D4F57F" w:rsidR="000C6FB1" w:rsidRPr="000C6FB1" w:rsidRDefault="000C6FB1" w:rsidP="00B9712C">
            <w:pPr>
              <w:jc w:val="right"/>
              <w:rPr>
                <w:rFonts w:ascii="Arial" w:eastAsia="Times New Roman" w:hAnsi="Arial" w:cs="Arial"/>
                <w:color w:val="000000"/>
              </w:rPr>
            </w:pPr>
            <w:r w:rsidRPr="000C6FB1">
              <w:rPr>
                <w:rFonts w:ascii="Arial" w:eastAsia="Times New Roman" w:hAnsi="Arial" w:cs="Arial"/>
                <w:color w:val="000000"/>
              </w:rPr>
              <w:t>0.6860</w:t>
            </w:r>
          </w:p>
        </w:tc>
      </w:tr>
      <w:tr w:rsidR="000C6FB1" w:rsidRPr="000C6FB1" w14:paraId="5E2D3E94" w14:textId="77777777" w:rsidTr="004536F0">
        <w:trPr>
          <w:trHeight w:val="300"/>
        </w:trPr>
        <w:tc>
          <w:tcPr>
            <w:tcW w:w="5090" w:type="dxa"/>
            <w:noWrap/>
            <w:hideMark/>
          </w:tcPr>
          <w:p w14:paraId="5DF8E151"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 xml:space="preserve">            2 days pre </w:t>
            </w:r>
            <w:proofErr w:type="spellStart"/>
            <w:r w:rsidRPr="000C6FB1">
              <w:rPr>
                <w:rFonts w:ascii="Arial" w:eastAsia="Times New Roman" w:hAnsi="Arial" w:cs="Arial"/>
                <w:b/>
                <w:bCs/>
                <w:color w:val="000000"/>
                <w:sz w:val="20"/>
              </w:rPr>
              <w:t>adm</w:t>
            </w:r>
            <w:proofErr w:type="spellEnd"/>
            <w:r w:rsidRPr="000C6FB1">
              <w:rPr>
                <w:rFonts w:ascii="Arial" w:eastAsia="Times New Roman" w:hAnsi="Arial" w:cs="Arial"/>
                <w:b/>
                <w:bCs/>
                <w:color w:val="000000"/>
                <w:sz w:val="20"/>
              </w:rPr>
              <w:t xml:space="preserve"> or earlier</w:t>
            </w:r>
          </w:p>
        </w:tc>
        <w:tc>
          <w:tcPr>
            <w:tcW w:w="2230" w:type="dxa"/>
            <w:noWrap/>
            <w:hideMark/>
          </w:tcPr>
          <w:p w14:paraId="2FE8C0A3"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163 </w:t>
            </w:r>
            <w:proofErr w:type="gramStart"/>
            <w:r w:rsidRPr="000C6FB1">
              <w:rPr>
                <w:rFonts w:ascii="Arial" w:eastAsia="Times New Roman" w:hAnsi="Arial" w:cs="Arial"/>
                <w:color w:val="000000"/>
              </w:rPr>
              <w:t>( 3.8</w:t>
            </w:r>
            <w:proofErr w:type="gramEnd"/>
            <w:r w:rsidRPr="000C6FB1">
              <w:rPr>
                <w:rFonts w:ascii="Arial" w:eastAsia="Times New Roman" w:hAnsi="Arial" w:cs="Arial"/>
                <w:color w:val="000000"/>
              </w:rPr>
              <w:t>%)</w:t>
            </w:r>
          </w:p>
        </w:tc>
        <w:tc>
          <w:tcPr>
            <w:tcW w:w="2140" w:type="dxa"/>
            <w:noWrap/>
            <w:hideMark/>
          </w:tcPr>
          <w:p w14:paraId="0F32E963"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77 </w:t>
            </w:r>
            <w:proofErr w:type="gramStart"/>
            <w:r w:rsidRPr="000C6FB1">
              <w:rPr>
                <w:rFonts w:ascii="Arial" w:eastAsia="Times New Roman" w:hAnsi="Arial" w:cs="Arial"/>
                <w:color w:val="000000"/>
              </w:rPr>
              <w:t>( 3.6</w:t>
            </w:r>
            <w:proofErr w:type="gramEnd"/>
            <w:r w:rsidRPr="000C6FB1">
              <w:rPr>
                <w:rFonts w:ascii="Arial" w:eastAsia="Times New Roman" w:hAnsi="Arial" w:cs="Arial"/>
                <w:color w:val="000000"/>
              </w:rPr>
              <w:t>%)</w:t>
            </w:r>
          </w:p>
        </w:tc>
        <w:tc>
          <w:tcPr>
            <w:tcW w:w="2140" w:type="dxa"/>
            <w:noWrap/>
            <w:hideMark/>
          </w:tcPr>
          <w:p w14:paraId="2F3028F9"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86 </w:t>
            </w:r>
            <w:proofErr w:type="gramStart"/>
            <w:r w:rsidRPr="000C6FB1">
              <w:rPr>
                <w:rFonts w:ascii="Arial" w:eastAsia="Times New Roman" w:hAnsi="Arial" w:cs="Arial"/>
                <w:color w:val="000000"/>
              </w:rPr>
              <w:t>( 4.0</w:t>
            </w:r>
            <w:proofErr w:type="gramEnd"/>
            <w:r w:rsidRPr="000C6FB1">
              <w:rPr>
                <w:rFonts w:ascii="Arial" w:eastAsia="Times New Roman" w:hAnsi="Arial" w:cs="Arial"/>
                <w:color w:val="000000"/>
              </w:rPr>
              <w:t>%)</w:t>
            </w:r>
          </w:p>
        </w:tc>
        <w:tc>
          <w:tcPr>
            <w:tcW w:w="960" w:type="dxa"/>
            <w:noWrap/>
            <w:hideMark/>
          </w:tcPr>
          <w:p w14:paraId="65A0A029" w14:textId="77777777" w:rsidR="000C6FB1" w:rsidRPr="000C6FB1" w:rsidRDefault="000C6FB1" w:rsidP="00B9712C">
            <w:pPr>
              <w:jc w:val="right"/>
              <w:rPr>
                <w:rFonts w:ascii="Arial" w:eastAsia="Times New Roman" w:hAnsi="Arial" w:cs="Arial"/>
                <w:color w:val="000000"/>
              </w:rPr>
            </w:pPr>
          </w:p>
        </w:tc>
      </w:tr>
      <w:tr w:rsidR="000C6FB1" w:rsidRPr="000C6FB1" w14:paraId="2452CA41" w14:textId="77777777" w:rsidTr="004536F0">
        <w:trPr>
          <w:trHeight w:val="300"/>
        </w:trPr>
        <w:tc>
          <w:tcPr>
            <w:tcW w:w="5090" w:type="dxa"/>
            <w:noWrap/>
            <w:hideMark/>
          </w:tcPr>
          <w:p w14:paraId="08C68D02"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 xml:space="preserve">            After discharge</w:t>
            </w:r>
          </w:p>
        </w:tc>
        <w:tc>
          <w:tcPr>
            <w:tcW w:w="2230" w:type="dxa"/>
            <w:noWrap/>
            <w:hideMark/>
          </w:tcPr>
          <w:p w14:paraId="441C4604"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190 </w:t>
            </w:r>
            <w:proofErr w:type="gramStart"/>
            <w:r w:rsidRPr="000C6FB1">
              <w:rPr>
                <w:rFonts w:ascii="Arial" w:eastAsia="Times New Roman" w:hAnsi="Arial" w:cs="Arial"/>
                <w:color w:val="000000"/>
              </w:rPr>
              <w:t>( 4.4</w:t>
            </w:r>
            <w:proofErr w:type="gramEnd"/>
            <w:r w:rsidRPr="000C6FB1">
              <w:rPr>
                <w:rFonts w:ascii="Arial" w:eastAsia="Times New Roman" w:hAnsi="Arial" w:cs="Arial"/>
                <w:color w:val="000000"/>
              </w:rPr>
              <w:t>%)</w:t>
            </w:r>
          </w:p>
        </w:tc>
        <w:tc>
          <w:tcPr>
            <w:tcW w:w="2140" w:type="dxa"/>
            <w:noWrap/>
            <w:hideMark/>
          </w:tcPr>
          <w:p w14:paraId="0BB6DB74"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96 </w:t>
            </w:r>
            <w:proofErr w:type="gramStart"/>
            <w:r w:rsidRPr="000C6FB1">
              <w:rPr>
                <w:rFonts w:ascii="Arial" w:eastAsia="Times New Roman" w:hAnsi="Arial" w:cs="Arial"/>
                <w:color w:val="000000"/>
              </w:rPr>
              <w:t>( 4.5</w:t>
            </w:r>
            <w:proofErr w:type="gramEnd"/>
            <w:r w:rsidRPr="000C6FB1">
              <w:rPr>
                <w:rFonts w:ascii="Arial" w:eastAsia="Times New Roman" w:hAnsi="Arial" w:cs="Arial"/>
                <w:color w:val="000000"/>
              </w:rPr>
              <w:t>%)</w:t>
            </w:r>
          </w:p>
        </w:tc>
        <w:tc>
          <w:tcPr>
            <w:tcW w:w="2140" w:type="dxa"/>
            <w:noWrap/>
            <w:hideMark/>
          </w:tcPr>
          <w:p w14:paraId="010D9602"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94 </w:t>
            </w:r>
            <w:proofErr w:type="gramStart"/>
            <w:r w:rsidRPr="000C6FB1">
              <w:rPr>
                <w:rFonts w:ascii="Arial" w:eastAsia="Times New Roman" w:hAnsi="Arial" w:cs="Arial"/>
                <w:color w:val="000000"/>
              </w:rPr>
              <w:t>( 4.4</w:t>
            </w:r>
            <w:proofErr w:type="gramEnd"/>
            <w:r w:rsidRPr="000C6FB1">
              <w:rPr>
                <w:rFonts w:ascii="Arial" w:eastAsia="Times New Roman" w:hAnsi="Arial" w:cs="Arial"/>
                <w:color w:val="000000"/>
              </w:rPr>
              <w:t>%)</w:t>
            </w:r>
          </w:p>
        </w:tc>
        <w:tc>
          <w:tcPr>
            <w:tcW w:w="960" w:type="dxa"/>
            <w:noWrap/>
            <w:hideMark/>
          </w:tcPr>
          <w:p w14:paraId="01408C4B" w14:textId="77777777" w:rsidR="000C6FB1" w:rsidRPr="000C6FB1" w:rsidRDefault="000C6FB1" w:rsidP="00B9712C">
            <w:pPr>
              <w:jc w:val="right"/>
              <w:rPr>
                <w:rFonts w:ascii="Arial" w:eastAsia="Times New Roman" w:hAnsi="Arial" w:cs="Arial"/>
                <w:color w:val="000000"/>
              </w:rPr>
            </w:pPr>
          </w:p>
        </w:tc>
      </w:tr>
      <w:tr w:rsidR="000C6FB1" w:rsidRPr="000C6FB1" w14:paraId="5F1FD901" w14:textId="77777777" w:rsidTr="004536F0">
        <w:trPr>
          <w:trHeight w:val="315"/>
        </w:trPr>
        <w:tc>
          <w:tcPr>
            <w:tcW w:w="5090" w:type="dxa"/>
            <w:noWrap/>
            <w:hideMark/>
          </w:tcPr>
          <w:p w14:paraId="1725D6A6" w14:textId="77777777" w:rsidR="000C6FB1" w:rsidRPr="000C6FB1" w:rsidRDefault="000C6FB1" w:rsidP="00B9712C">
            <w:pPr>
              <w:rPr>
                <w:rFonts w:ascii="Arial" w:eastAsia="Times New Roman" w:hAnsi="Arial" w:cs="Arial"/>
                <w:b/>
                <w:bCs/>
                <w:color w:val="000000"/>
                <w:sz w:val="20"/>
                <w:szCs w:val="20"/>
              </w:rPr>
            </w:pPr>
            <w:r w:rsidRPr="000C6FB1">
              <w:rPr>
                <w:rFonts w:ascii="Arial" w:eastAsia="Times New Roman" w:hAnsi="Arial" w:cs="Arial"/>
                <w:b/>
                <w:bCs/>
                <w:color w:val="000000"/>
                <w:sz w:val="20"/>
              </w:rPr>
              <w:t xml:space="preserve">            No referral</w:t>
            </w:r>
          </w:p>
        </w:tc>
        <w:tc>
          <w:tcPr>
            <w:tcW w:w="2230" w:type="dxa"/>
            <w:noWrap/>
            <w:hideMark/>
          </w:tcPr>
          <w:p w14:paraId="21A85DE2"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1,607 </w:t>
            </w:r>
            <w:proofErr w:type="gramStart"/>
            <w:r w:rsidRPr="000C6FB1">
              <w:rPr>
                <w:rFonts w:ascii="Arial" w:eastAsia="Times New Roman" w:hAnsi="Arial" w:cs="Arial"/>
                <w:color w:val="000000"/>
              </w:rPr>
              <w:t>( 37.3</w:t>
            </w:r>
            <w:proofErr w:type="gramEnd"/>
            <w:r w:rsidRPr="000C6FB1">
              <w:rPr>
                <w:rFonts w:ascii="Arial" w:eastAsia="Times New Roman" w:hAnsi="Arial" w:cs="Arial"/>
                <w:color w:val="000000"/>
              </w:rPr>
              <w:t>%)</w:t>
            </w:r>
          </w:p>
        </w:tc>
        <w:tc>
          <w:tcPr>
            <w:tcW w:w="2140" w:type="dxa"/>
            <w:noWrap/>
            <w:hideMark/>
          </w:tcPr>
          <w:p w14:paraId="53267271"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820 </w:t>
            </w:r>
            <w:proofErr w:type="gramStart"/>
            <w:r w:rsidRPr="000C6FB1">
              <w:rPr>
                <w:rFonts w:ascii="Arial" w:eastAsia="Times New Roman" w:hAnsi="Arial" w:cs="Arial"/>
                <w:color w:val="000000"/>
              </w:rPr>
              <w:t>( 38.1</w:t>
            </w:r>
            <w:proofErr w:type="gramEnd"/>
            <w:r w:rsidRPr="000C6FB1">
              <w:rPr>
                <w:rFonts w:ascii="Arial" w:eastAsia="Times New Roman" w:hAnsi="Arial" w:cs="Arial"/>
                <w:color w:val="000000"/>
              </w:rPr>
              <w:t>%)</w:t>
            </w:r>
          </w:p>
        </w:tc>
        <w:tc>
          <w:tcPr>
            <w:tcW w:w="2140" w:type="dxa"/>
            <w:noWrap/>
            <w:hideMark/>
          </w:tcPr>
          <w:p w14:paraId="05013840"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xml:space="preserve">787 </w:t>
            </w:r>
            <w:proofErr w:type="gramStart"/>
            <w:r w:rsidRPr="000C6FB1">
              <w:rPr>
                <w:rFonts w:ascii="Arial" w:eastAsia="Times New Roman" w:hAnsi="Arial" w:cs="Arial"/>
                <w:color w:val="000000"/>
              </w:rPr>
              <w:t>( 36.6</w:t>
            </w:r>
            <w:proofErr w:type="gramEnd"/>
            <w:r w:rsidRPr="000C6FB1">
              <w:rPr>
                <w:rFonts w:ascii="Arial" w:eastAsia="Times New Roman" w:hAnsi="Arial" w:cs="Arial"/>
                <w:color w:val="000000"/>
              </w:rPr>
              <w:t>%)</w:t>
            </w:r>
          </w:p>
        </w:tc>
        <w:tc>
          <w:tcPr>
            <w:tcW w:w="960" w:type="dxa"/>
            <w:noWrap/>
            <w:hideMark/>
          </w:tcPr>
          <w:p w14:paraId="1AD7AD4B" w14:textId="77777777" w:rsidR="000C6FB1" w:rsidRPr="000C6FB1" w:rsidRDefault="000C6FB1" w:rsidP="00B9712C">
            <w:pPr>
              <w:jc w:val="center"/>
              <w:rPr>
                <w:rFonts w:ascii="Arial" w:eastAsia="Times New Roman" w:hAnsi="Arial" w:cs="Arial"/>
                <w:color w:val="000000"/>
              </w:rPr>
            </w:pPr>
            <w:r w:rsidRPr="000C6FB1">
              <w:rPr>
                <w:rFonts w:ascii="Arial" w:eastAsia="Times New Roman" w:hAnsi="Arial" w:cs="Arial"/>
                <w:color w:val="000000"/>
              </w:rPr>
              <w:t> </w:t>
            </w:r>
          </w:p>
        </w:tc>
      </w:tr>
    </w:tbl>
    <w:p w14:paraId="71114193" w14:textId="77777777" w:rsidR="00EF3085" w:rsidRDefault="00EF3085" w:rsidP="00D92C44">
      <w:pPr>
        <w:rPr>
          <w:rFonts w:ascii="Arial" w:hAnsi="Arial" w:cs="Arial"/>
        </w:rPr>
      </w:pPr>
    </w:p>
    <w:p w14:paraId="2E8C632B" w14:textId="02DCD798" w:rsidR="00D92C44" w:rsidRPr="00CE39CF" w:rsidRDefault="00D92C44" w:rsidP="00D92C44">
      <w:pPr>
        <w:rPr>
          <w:rFonts w:ascii="Arial" w:hAnsi="Arial" w:cs="Arial"/>
        </w:rPr>
      </w:pPr>
      <w:r w:rsidRPr="00CE39CF">
        <w:rPr>
          <w:rFonts w:ascii="Arial" w:hAnsi="Arial" w:cs="Arial"/>
        </w:rPr>
        <w:t>Footnotes</w:t>
      </w:r>
      <w:r w:rsidR="00CE39CF">
        <w:rPr>
          <w:rFonts w:ascii="Arial" w:hAnsi="Arial" w:cs="Arial"/>
        </w:rPr>
        <w:t xml:space="preserve"> to APPENDIX 4</w:t>
      </w:r>
    </w:p>
    <w:p w14:paraId="5AC53A97" w14:textId="77777777" w:rsidR="00D92C44" w:rsidRPr="00CE39CF" w:rsidRDefault="00D92C44" w:rsidP="00D92C44">
      <w:pPr>
        <w:spacing w:after="0" w:line="480" w:lineRule="auto"/>
        <w:rPr>
          <w:rFonts w:ascii="Arial" w:hAnsi="Arial" w:cs="Arial"/>
        </w:rPr>
      </w:pPr>
      <w:r w:rsidRPr="00CE39CF">
        <w:rPr>
          <w:rFonts w:ascii="Arial" w:hAnsi="Arial" w:cs="Arial"/>
        </w:rPr>
        <w:t>1</w:t>
      </w:r>
      <w:r w:rsidRPr="00CE39CF">
        <w:rPr>
          <w:rFonts w:ascii="Arial" w:hAnsi="Arial" w:cs="Arial"/>
        </w:rPr>
        <w:tab/>
        <w:t>Chi square or t test, as appropriate. See text for further methodological details.</w:t>
      </w:r>
    </w:p>
    <w:p w14:paraId="5B65A81E" w14:textId="77777777" w:rsidR="00D92C44" w:rsidRPr="00CE39CF" w:rsidRDefault="00D92C44" w:rsidP="00D92C44">
      <w:pPr>
        <w:spacing w:after="0" w:line="480" w:lineRule="auto"/>
        <w:ind w:left="720" w:hanging="720"/>
        <w:rPr>
          <w:rFonts w:ascii="Arial" w:hAnsi="Arial" w:cs="Arial"/>
        </w:rPr>
      </w:pPr>
      <w:r w:rsidRPr="00CE39CF">
        <w:rPr>
          <w:rFonts w:ascii="Arial" w:hAnsi="Arial" w:cs="Arial"/>
        </w:rPr>
        <w:t>2</w:t>
      </w:r>
      <w:r w:rsidRPr="00CE39CF">
        <w:rPr>
          <w:rFonts w:ascii="Arial" w:hAnsi="Arial" w:cs="Arial"/>
        </w:rPr>
        <w:tab/>
        <w:t>AMI order set is an evidence-based electronic checklist which guides physicians to order the most effective therapy by CPOE during the hospital admission process. In contrast, a la carte means that the clinician did not use the AMI-OS , but rather entered individual orders via CPOE</w:t>
      </w:r>
      <w:proofErr w:type="gramStart"/>
      <w:r w:rsidRPr="00CE39CF">
        <w:rPr>
          <w:rFonts w:ascii="Arial" w:hAnsi="Arial" w:cs="Arial"/>
        </w:rPr>
        <w:t xml:space="preserve">. </w:t>
      </w:r>
      <w:proofErr w:type="gramEnd"/>
      <w:r w:rsidRPr="00CE39CF">
        <w:rPr>
          <w:rFonts w:ascii="Arial" w:hAnsi="Arial" w:cs="Arial"/>
        </w:rPr>
        <w:t>See text for further details.</w:t>
      </w:r>
    </w:p>
    <w:p w14:paraId="65EF6B00" w14:textId="77777777" w:rsidR="00D92C44" w:rsidRPr="00CE39CF" w:rsidRDefault="00D92C44" w:rsidP="00D92C44">
      <w:pPr>
        <w:spacing w:after="0" w:line="480" w:lineRule="auto"/>
        <w:rPr>
          <w:rFonts w:ascii="Arial" w:hAnsi="Arial" w:cs="Arial"/>
        </w:rPr>
      </w:pPr>
      <w:r w:rsidRPr="00CE39CF">
        <w:rPr>
          <w:rFonts w:ascii="Arial" w:hAnsi="Arial" w:cs="Arial"/>
        </w:rPr>
        <w:t xml:space="preserve">3 </w:t>
      </w:r>
      <w:r w:rsidRPr="00CE39CF">
        <w:rPr>
          <w:rFonts w:ascii="Arial" w:hAnsi="Arial" w:cs="Arial"/>
        </w:rPr>
        <w:tab/>
        <w:t>Standard deviation.</w:t>
      </w:r>
    </w:p>
    <w:p w14:paraId="2CE8D29E" w14:textId="77777777" w:rsidR="00D92C44" w:rsidRPr="00CE39CF" w:rsidRDefault="00D92C44" w:rsidP="00D92C44">
      <w:pPr>
        <w:spacing w:after="0" w:line="480" w:lineRule="auto"/>
        <w:rPr>
          <w:rFonts w:ascii="Arial" w:hAnsi="Arial" w:cs="Arial"/>
        </w:rPr>
      </w:pPr>
      <w:r w:rsidRPr="00CE39CF">
        <w:rPr>
          <w:rFonts w:ascii="Arial" w:hAnsi="Arial" w:cs="Arial"/>
        </w:rPr>
        <w:t>4</w:t>
      </w:r>
      <w:r w:rsidRPr="00CE39CF">
        <w:rPr>
          <w:rFonts w:ascii="Arial" w:hAnsi="Arial" w:cs="Arial"/>
        </w:rPr>
        <w:tab/>
        <w:t>ST-segment elevation myocardial infarction as evident by electrocardiogram. See text for details on ascertainment.</w:t>
      </w:r>
    </w:p>
    <w:p w14:paraId="7AE4B549" w14:textId="77777777" w:rsidR="00D92C44" w:rsidRPr="00CE39CF" w:rsidRDefault="00D92C44" w:rsidP="00D92C44">
      <w:pPr>
        <w:spacing w:after="0" w:line="480" w:lineRule="auto"/>
        <w:rPr>
          <w:rFonts w:ascii="Arial" w:hAnsi="Arial" w:cs="Arial"/>
        </w:rPr>
      </w:pPr>
      <w:r w:rsidRPr="00CE39CF">
        <w:rPr>
          <w:rFonts w:ascii="Arial" w:hAnsi="Arial" w:cs="Arial"/>
        </w:rPr>
        <w:t>5</w:t>
      </w:r>
      <w:r w:rsidRPr="00CE39CF">
        <w:rPr>
          <w:rFonts w:ascii="Arial" w:hAnsi="Arial" w:cs="Arial"/>
        </w:rPr>
        <w:tab/>
        <w:t>See text and citation 31 for details on how this score was assigned.</w:t>
      </w:r>
    </w:p>
    <w:p w14:paraId="330BB312" w14:textId="77777777" w:rsidR="00D92C44" w:rsidRPr="00CE39CF" w:rsidRDefault="00D92C44" w:rsidP="00D92C44">
      <w:pPr>
        <w:spacing w:after="0" w:line="480" w:lineRule="auto"/>
        <w:ind w:left="720" w:hanging="720"/>
        <w:rPr>
          <w:rFonts w:ascii="Arial" w:hAnsi="Arial" w:cs="Arial"/>
        </w:rPr>
      </w:pPr>
      <w:r w:rsidRPr="00CE39CF">
        <w:rPr>
          <w:rFonts w:ascii="Arial" w:hAnsi="Arial" w:cs="Arial"/>
        </w:rPr>
        <w:t>6</w:t>
      </w:r>
      <w:r w:rsidRPr="00CE39CF">
        <w:rPr>
          <w:rFonts w:ascii="Arial" w:hAnsi="Arial" w:cs="Arial"/>
        </w:rPr>
        <w:tab/>
      </w:r>
      <w:proofErr w:type="spellStart"/>
      <w:r w:rsidRPr="00CE39CF">
        <w:rPr>
          <w:rFonts w:ascii="Arial" w:hAnsi="Arial" w:cs="Arial"/>
        </w:rPr>
        <w:t>COmorbidity</w:t>
      </w:r>
      <w:proofErr w:type="spellEnd"/>
      <w:r w:rsidRPr="00CE39CF">
        <w:rPr>
          <w:rFonts w:ascii="Arial" w:hAnsi="Arial" w:cs="Arial"/>
        </w:rPr>
        <w:t xml:space="preserve"> Point Score, version 2</w:t>
      </w:r>
      <w:proofErr w:type="gramStart"/>
      <w:r w:rsidRPr="00CE39CF">
        <w:rPr>
          <w:rFonts w:ascii="Arial" w:hAnsi="Arial" w:cs="Arial"/>
        </w:rPr>
        <w:t xml:space="preserve">. </w:t>
      </w:r>
      <w:proofErr w:type="gramEnd"/>
      <w:r w:rsidRPr="00CE39CF">
        <w:rPr>
          <w:rFonts w:ascii="Arial" w:hAnsi="Arial" w:cs="Arial"/>
        </w:rPr>
        <w:t xml:space="preserve">The COPS2 is a longitudinal, diagnosis-based score assigned monthly that integrates all diagnoses incurred by a patient in the preceding 12 months. It is a continuous variable that can range between a minimum of zero and a theoretical maximum of 1,014, although &lt; 0.05% of Kaiser Permanente hospitalized patients have a COPS2 </w:t>
      </w:r>
      <w:r w:rsidRPr="00CE39CF">
        <w:rPr>
          <w:rFonts w:ascii="Arial" w:hAnsi="Arial" w:cs="Arial"/>
        </w:rPr>
        <w:lastRenderedPageBreak/>
        <w:t>exceeding 241 and none have had a COPS2 &gt; 306. Increasing values of the COPS2 are associated with increasing mortality. See text and citations 20 and 27 for additional details on the COPS2.</w:t>
      </w:r>
    </w:p>
    <w:p w14:paraId="62E195A0" w14:textId="77777777" w:rsidR="00D92C44" w:rsidRPr="00CE39CF" w:rsidRDefault="00D92C44" w:rsidP="00D92C44">
      <w:pPr>
        <w:spacing w:after="0" w:line="480" w:lineRule="auto"/>
        <w:ind w:left="720" w:hanging="720"/>
        <w:rPr>
          <w:rFonts w:ascii="Arial" w:hAnsi="Arial" w:cs="Arial"/>
        </w:rPr>
      </w:pPr>
      <w:r w:rsidRPr="00CE39CF">
        <w:rPr>
          <w:rFonts w:ascii="Arial" w:hAnsi="Arial" w:cs="Arial"/>
        </w:rPr>
        <w:t>7</w:t>
      </w:r>
      <w:r w:rsidRPr="00CE39CF">
        <w:rPr>
          <w:rFonts w:ascii="Arial" w:hAnsi="Arial" w:cs="Arial"/>
        </w:rPr>
        <w:tab/>
        <w:t xml:space="preserve">Laboratory-based Acute Physiology Score, version 2. The LAPS2 integrates results from vital signs, neurological status checks, and 15 laboratory tests in the 72 hours preceding hospitalization into a single continuous variable. Increasing degrees of physiologic derangement are reflected in a higher LAPS2, which can range between a minimum of zero and a theoretical maximum of 414, although &lt; 0.05% of Kaiser Permanente hospitalized patients have a LAPS2 exceeding 227 and none have had a LAPS2 &gt; 282. Increasing values of LAPS2 are associated with increasing mortality. See text and citations 20 and 27 for additional details on the LAPS2. </w:t>
      </w:r>
    </w:p>
    <w:p w14:paraId="0335FE09" w14:textId="77777777" w:rsidR="00D92C44" w:rsidRPr="00CE39CF" w:rsidRDefault="00D92C44" w:rsidP="00D92C44">
      <w:pPr>
        <w:spacing w:after="0" w:line="480" w:lineRule="auto"/>
        <w:ind w:left="720" w:hanging="720"/>
        <w:rPr>
          <w:rFonts w:ascii="Arial" w:hAnsi="Arial" w:cs="Arial"/>
        </w:rPr>
      </w:pPr>
      <w:r w:rsidRPr="00CE39CF">
        <w:rPr>
          <w:rFonts w:ascii="Arial" w:hAnsi="Arial" w:cs="Arial"/>
        </w:rPr>
        <w:t>8</w:t>
      </w:r>
      <w:r w:rsidRPr="00CE39CF">
        <w:rPr>
          <w:rFonts w:ascii="Arial" w:hAnsi="Arial" w:cs="Arial"/>
        </w:rPr>
        <w:tab/>
        <w:t>See text for details of specific therapies and how they were ascertained using the electronic medical record. ACE = angiotensin converting enzyme; ARB = angiotensin receptor blockers.</w:t>
      </w:r>
    </w:p>
    <w:p w14:paraId="495F49C1" w14:textId="77777777" w:rsidR="00D92C44" w:rsidRPr="00CE39CF" w:rsidRDefault="00D92C44" w:rsidP="00D92C44">
      <w:pPr>
        <w:spacing w:after="0" w:line="480" w:lineRule="auto"/>
        <w:ind w:left="720" w:hanging="720"/>
        <w:rPr>
          <w:rFonts w:ascii="Arial" w:hAnsi="Arial" w:cs="Arial"/>
        </w:rPr>
      </w:pPr>
      <w:r w:rsidRPr="00CE39CF">
        <w:rPr>
          <w:rFonts w:ascii="Arial" w:hAnsi="Arial" w:cs="Arial"/>
        </w:rPr>
        <w:t>9</w:t>
      </w:r>
      <w:r w:rsidRPr="00CE39CF">
        <w:rPr>
          <w:rFonts w:ascii="Arial" w:hAnsi="Arial" w:cs="Arial"/>
        </w:rPr>
        <w:tab/>
        <w:t>Percent mortality risk based on age, sex, diagnosis, COPS2, LAPS2, and care directive using a predictive model described in text and in citation 22.</w:t>
      </w:r>
    </w:p>
    <w:p w14:paraId="679D4A94" w14:textId="77777777" w:rsidR="00D92C44" w:rsidRPr="00CE39CF" w:rsidRDefault="00D92C44" w:rsidP="00D92C44">
      <w:pPr>
        <w:spacing w:after="0" w:line="480" w:lineRule="auto"/>
        <w:rPr>
          <w:rFonts w:ascii="Arial" w:hAnsi="Arial" w:cs="Arial"/>
        </w:rPr>
      </w:pPr>
      <w:r w:rsidRPr="00CE39CF">
        <w:rPr>
          <w:rFonts w:ascii="Arial" w:hAnsi="Arial" w:cs="Arial"/>
        </w:rPr>
        <w:t>10</w:t>
      </w:r>
      <w:r w:rsidRPr="00CE39CF">
        <w:rPr>
          <w:rFonts w:ascii="Arial" w:hAnsi="Arial" w:cs="Arial"/>
        </w:rPr>
        <w:tab/>
        <w:t>See text for description of how end of life care directives are captured in the electronic medical record.</w:t>
      </w:r>
    </w:p>
    <w:p w14:paraId="1842FBF7" w14:textId="77777777" w:rsidR="00D92C44" w:rsidRPr="00CE39CF" w:rsidRDefault="00D92C44" w:rsidP="00D92C44">
      <w:pPr>
        <w:spacing w:after="0" w:line="480" w:lineRule="auto"/>
        <w:ind w:left="720" w:hanging="720"/>
        <w:rPr>
          <w:rFonts w:ascii="Arial" w:hAnsi="Arial" w:cs="Arial"/>
        </w:rPr>
      </w:pPr>
      <w:r w:rsidRPr="00CE39CF">
        <w:rPr>
          <w:rFonts w:ascii="Arial" w:hAnsi="Arial" w:cs="Arial"/>
        </w:rPr>
        <w:t>11</w:t>
      </w:r>
      <w:r w:rsidRPr="00CE39CF">
        <w:rPr>
          <w:rFonts w:ascii="Arial" w:hAnsi="Arial" w:cs="Arial"/>
        </w:rPr>
        <w:tab/>
        <w:t xml:space="preserve">ICU = intensive care unit. </w:t>
      </w:r>
      <w:r w:rsidRPr="00CE39CF">
        <w:rPr>
          <w:rFonts w:ascii="Arial" w:hAnsi="Arial" w:cs="Arial"/>
          <w:i/>
          <w:iCs/>
        </w:rPr>
        <w:t>Direct admit</w:t>
      </w:r>
      <w:r w:rsidRPr="00CE39CF">
        <w:rPr>
          <w:rFonts w:ascii="Arial" w:hAnsi="Arial" w:cs="Arial"/>
        </w:rPr>
        <w:t xml:space="preserve"> means that the first hospital unit in which a patient stayed was the ICU; </w:t>
      </w:r>
      <w:r w:rsidRPr="00CE39CF">
        <w:rPr>
          <w:rFonts w:ascii="Arial" w:hAnsi="Arial" w:cs="Arial"/>
          <w:i/>
          <w:iCs/>
        </w:rPr>
        <w:t>transfer</w:t>
      </w:r>
      <w:r w:rsidRPr="00CE39CF">
        <w:rPr>
          <w:rFonts w:ascii="Arial" w:hAnsi="Arial" w:cs="Arial"/>
        </w:rPr>
        <w:t xml:space="preserve"> refers to those patients transferred to the ICU from another unit in the hospital</w:t>
      </w:r>
    </w:p>
    <w:p w14:paraId="3E17B520" w14:textId="77777777" w:rsidR="00D92C44" w:rsidRDefault="00D92C44" w:rsidP="00E72656">
      <w:pPr>
        <w:tabs>
          <w:tab w:val="left" w:pos="1308"/>
        </w:tabs>
        <w:rPr>
          <w:rFonts w:ascii="Arial" w:hAnsi="Arial" w:cs="Arial"/>
        </w:rPr>
      </w:pPr>
    </w:p>
    <w:p w14:paraId="177A2AD3" w14:textId="77777777" w:rsidR="000C6FB1" w:rsidRDefault="000C6FB1" w:rsidP="00E72656">
      <w:pPr>
        <w:tabs>
          <w:tab w:val="left" w:pos="1308"/>
        </w:tabs>
        <w:rPr>
          <w:rFonts w:ascii="Arial" w:hAnsi="Arial" w:cs="Arial"/>
        </w:rPr>
      </w:pPr>
    </w:p>
    <w:p w14:paraId="44C99CE5" w14:textId="77777777" w:rsidR="000C6FB1" w:rsidRDefault="000C6FB1" w:rsidP="00E72656">
      <w:pPr>
        <w:tabs>
          <w:tab w:val="left" w:pos="1308"/>
        </w:tabs>
        <w:rPr>
          <w:rFonts w:ascii="Arial" w:hAnsi="Arial" w:cs="Arial"/>
        </w:rPr>
      </w:pPr>
    </w:p>
    <w:p w14:paraId="0594D888" w14:textId="77777777" w:rsidR="000C6FB1" w:rsidRDefault="000C6FB1" w:rsidP="00E72656">
      <w:pPr>
        <w:tabs>
          <w:tab w:val="left" w:pos="1308"/>
        </w:tabs>
        <w:rPr>
          <w:rFonts w:ascii="Arial" w:hAnsi="Arial" w:cs="Arial"/>
        </w:rPr>
      </w:pPr>
    </w:p>
    <w:tbl>
      <w:tblPr>
        <w:tblStyle w:val="TableGrid"/>
        <w:tblW w:w="12560" w:type="dxa"/>
        <w:tblLook w:val="04A0" w:firstRow="1" w:lastRow="0" w:firstColumn="1" w:lastColumn="0" w:noHBand="0" w:noVBand="1"/>
      </w:tblPr>
      <w:tblGrid>
        <w:gridCol w:w="5090"/>
        <w:gridCol w:w="2230"/>
        <w:gridCol w:w="2140"/>
        <w:gridCol w:w="2140"/>
        <w:gridCol w:w="960"/>
      </w:tblGrid>
      <w:tr w:rsidR="000C6FB1" w:rsidRPr="00986722" w14:paraId="5AAC9C4C" w14:textId="77777777" w:rsidTr="004536F0">
        <w:trPr>
          <w:trHeight w:val="315"/>
        </w:trPr>
        <w:tc>
          <w:tcPr>
            <w:tcW w:w="7320" w:type="dxa"/>
            <w:gridSpan w:val="2"/>
            <w:noWrap/>
            <w:hideMark/>
          </w:tcPr>
          <w:p w14:paraId="3C6CFE15"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DESCRIPT</w:t>
            </w:r>
            <w:r>
              <w:rPr>
                <w:rFonts w:eastAsia="Times New Roman"/>
                <w:b/>
                <w:bCs/>
                <w:color w:val="000000"/>
                <w:sz w:val="20"/>
              </w:rPr>
              <w:t xml:space="preserve">ION OF STUDY COHORT (PROPENSITY </w:t>
            </w:r>
            <w:r w:rsidRPr="00986722">
              <w:rPr>
                <w:rFonts w:eastAsia="Times New Roman"/>
                <w:b/>
                <w:bCs/>
                <w:color w:val="000000"/>
                <w:sz w:val="20"/>
              </w:rPr>
              <w:t>&amp; FACILITY</w:t>
            </w:r>
            <w:r>
              <w:rPr>
                <w:rFonts w:eastAsia="Times New Roman"/>
                <w:b/>
                <w:bCs/>
                <w:color w:val="000000"/>
                <w:sz w:val="20"/>
              </w:rPr>
              <w:t xml:space="preserve"> MATCH</w:t>
            </w:r>
            <w:r w:rsidRPr="00986722">
              <w:rPr>
                <w:rFonts w:eastAsia="Times New Roman"/>
                <w:b/>
                <w:bCs/>
                <w:color w:val="000000"/>
                <w:sz w:val="20"/>
              </w:rPr>
              <w:t>)</w:t>
            </w:r>
          </w:p>
        </w:tc>
        <w:tc>
          <w:tcPr>
            <w:tcW w:w="4280" w:type="dxa"/>
            <w:gridSpan w:val="2"/>
            <w:noWrap/>
            <w:hideMark/>
          </w:tcPr>
          <w:p w14:paraId="3C5C4971" w14:textId="77777777" w:rsidR="000C6FB1" w:rsidRPr="00986722" w:rsidRDefault="000C6FB1" w:rsidP="00B9712C">
            <w:pPr>
              <w:jc w:val="center"/>
              <w:rPr>
                <w:rFonts w:eastAsia="Times New Roman"/>
                <w:b/>
                <w:bCs/>
                <w:color w:val="000000"/>
              </w:rPr>
            </w:pPr>
            <w:r w:rsidRPr="00986722">
              <w:rPr>
                <w:rFonts w:eastAsia="Times New Roman"/>
                <w:b/>
                <w:bCs/>
                <w:color w:val="000000"/>
              </w:rPr>
              <w:t> </w:t>
            </w:r>
          </w:p>
        </w:tc>
        <w:tc>
          <w:tcPr>
            <w:tcW w:w="960" w:type="dxa"/>
            <w:noWrap/>
            <w:hideMark/>
          </w:tcPr>
          <w:p w14:paraId="3B7A3769" w14:textId="77777777" w:rsidR="000C6FB1" w:rsidRPr="00986722" w:rsidRDefault="000C6FB1" w:rsidP="00B9712C">
            <w:pPr>
              <w:jc w:val="center"/>
              <w:rPr>
                <w:rFonts w:eastAsia="Times New Roman"/>
                <w:b/>
                <w:bCs/>
                <w:color w:val="000000"/>
              </w:rPr>
            </w:pPr>
            <w:r w:rsidRPr="00986722">
              <w:rPr>
                <w:rFonts w:eastAsia="Times New Roman"/>
                <w:b/>
                <w:bCs/>
                <w:color w:val="000000"/>
              </w:rPr>
              <w:t> </w:t>
            </w:r>
          </w:p>
        </w:tc>
      </w:tr>
      <w:tr w:rsidR="000C6FB1" w:rsidRPr="00986722" w14:paraId="4530B52D" w14:textId="77777777" w:rsidTr="004536F0">
        <w:trPr>
          <w:trHeight w:val="360"/>
        </w:trPr>
        <w:tc>
          <w:tcPr>
            <w:tcW w:w="5090" w:type="dxa"/>
            <w:noWrap/>
            <w:hideMark/>
          </w:tcPr>
          <w:p w14:paraId="2AF4F1B1" w14:textId="77777777" w:rsidR="000C6FB1" w:rsidRPr="00986722" w:rsidRDefault="000C6FB1" w:rsidP="00B9712C">
            <w:pPr>
              <w:rPr>
                <w:rFonts w:eastAsia="Times New Roman"/>
                <w:b/>
                <w:bCs/>
                <w:color w:val="000000"/>
                <w:sz w:val="20"/>
                <w:szCs w:val="20"/>
              </w:rPr>
            </w:pPr>
          </w:p>
        </w:tc>
        <w:tc>
          <w:tcPr>
            <w:tcW w:w="2230" w:type="dxa"/>
            <w:noWrap/>
            <w:hideMark/>
          </w:tcPr>
          <w:p w14:paraId="11E8E43A" w14:textId="77777777" w:rsidR="000C6FB1" w:rsidRPr="00986722" w:rsidRDefault="000C6FB1" w:rsidP="00B9712C">
            <w:pPr>
              <w:jc w:val="center"/>
              <w:rPr>
                <w:rFonts w:eastAsia="Times New Roman"/>
                <w:b/>
                <w:bCs/>
                <w:color w:val="000000"/>
              </w:rPr>
            </w:pPr>
            <w:r w:rsidRPr="00986722">
              <w:rPr>
                <w:rFonts w:eastAsia="Times New Roman"/>
                <w:b/>
                <w:bCs/>
                <w:color w:val="000000"/>
              </w:rPr>
              <w:t> </w:t>
            </w:r>
          </w:p>
        </w:tc>
        <w:tc>
          <w:tcPr>
            <w:tcW w:w="4280" w:type="dxa"/>
            <w:gridSpan w:val="2"/>
            <w:noWrap/>
            <w:hideMark/>
          </w:tcPr>
          <w:p w14:paraId="2E883F24" w14:textId="77777777" w:rsidR="000C6FB1" w:rsidRPr="00986722" w:rsidRDefault="000C6FB1" w:rsidP="00B9712C">
            <w:pPr>
              <w:jc w:val="center"/>
              <w:rPr>
                <w:rFonts w:eastAsia="Times New Roman"/>
                <w:b/>
                <w:bCs/>
                <w:color w:val="000000"/>
              </w:rPr>
            </w:pPr>
            <w:r w:rsidRPr="00986722">
              <w:rPr>
                <w:rFonts w:eastAsia="Times New Roman"/>
                <w:b/>
                <w:bCs/>
                <w:color w:val="000000"/>
              </w:rPr>
              <w:t>Patients initially managed using</w:t>
            </w:r>
          </w:p>
        </w:tc>
        <w:tc>
          <w:tcPr>
            <w:tcW w:w="960" w:type="dxa"/>
            <w:noWrap/>
            <w:hideMark/>
          </w:tcPr>
          <w:p w14:paraId="3BEB1927" w14:textId="77777777" w:rsidR="000C6FB1" w:rsidRPr="00986722" w:rsidRDefault="000C6FB1" w:rsidP="00B9712C">
            <w:pPr>
              <w:jc w:val="center"/>
              <w:rPr>
                <w:rFonts w:eastAsia="Times New Roman"/>
                <w:b/>
                <w:bCs/>
                <w:color w:val="000000"/>
              </w:rPr>
            </w:pPr>
            <w:r w:rsidRPr="00986722">
              <w:rPr>
                <w:rFonts w:eastAsia="Times New Roman"/>
                <w:b/>
                <w:bCs/>
                <w:color w:val="000000"/>
              </w:rPr>
              <w:t>P</w:t>
            </w:r>
            <w:r w:rsidRPr="00986722">
              <w:rPr>
                <w:rFonts w:eastAsia="Times New Roman"/>
                <w:b/>
                <w:bCs/>
                <w:color w:val="000000"/>
                <w:vertAlign w:val="superscript"/>
              </w:rPr>
              <w:t>1</w:t>
            </w:r>
          </w:p>
        </w:tc>
      </w:tr>
      <w:tr w:rsidR="000C6FB1" w:rsidRPr="00986722" w14:paraId="2153C2E3" w14:textId="77777777" w:rsidTr="004536F0">
        <w:trPr>
          <w:trHeight w:val="360"/>
        </w:trPr>
        <w:tc>
          <w:tcPr>
            <w:tcW w:w="5090" w:type="dxa"/>
            <w:noWrap/>
            <w:hideMark/>
          </w:tcPr>
          <w:p w14:paraId="78A3482D" w14:textId="77777777" w:rsidR="000C6FB1" w:rsidRPr="00986722" w:rsidRDefault="000C6FB1" w:rsidP="00B9712C">
            <w:pPr>
              <w:rPr>
                <w:rFonts w:eastAsia="Times New Roman"/>
                <w:color w:val="000000"/>
                <w:sz w:val="20"/>
                <w:szCs w:val="20"/>
              </w:rPr>
            </w:pPr>
            <w:r w:rsidRPr="00986722">
              <w:rPr>
                <w:rFonts w:eastAsia="Times New Roman"/>
                <w:color w:val="000000"/>
                <w:sz w:val="20"/>
              </w:rPr>
              <w:t> </w:t>
            </w:r>
          </w:p>
        </w:tc>
        <w:tc>
          <w:tcPr>
            <w:tcW w:w="2230" w:type="dxa"/>
            <w:noWrap/>
            <w:hideMark/>
          </w:tcPr>
          <w:p w14:paraId="2B14D578" w14:textId="77777777" w:rsidR="000C6FB1" w:rsidRPr="00986722" w:rsidRDefault="000C6FB1" w:rsidP="00B9712C">
            <w:pPr>
              <w:jc w:val="center"/>
              <w:rPr>
                <w:rFonts w:eastAsia="Times New Roman"/>
                <w:b/>
                <w:bCs/>
                <w:color w:val="000000"/>
              </w:rPr>
            </w:pPr>
            <w:r w:rsidRPr="00986722">
              <w:rPr>
                <w:rFonts w:eastAsia="Times New Roman"/>
                <w:b/>
                <w:bCs/>
                <w:color w:val="000000"/>
              </w:rPr>
              <w:t>All Patients</w:t>
            </w:r>
          </w:p>
        </w:tc>
        <w:tc>
          <w:tcPr>
            <w:tcW w:w="2140" w:type="dxa"/>
            <w:noWrap/>
            <w:hideMark/>
          </w:tcPr>
          <w:p w14:paraId="594E1E74" w14:textId="77777777" w:rsidR="000C6FB1" w:rsidRPr="00986722" w:rsidRDefault="000C6FB1" w:rsidP="00B9712C">
            <w:pPr>
              <w:jc w:val="center"/>
              <w:rPr>
                <w:rFonts w:eastAsia="Times New Roman"/>
                <w:b/>
                <w:bCs/>
                <w:color w:val="000000"/>
              </w:rPr>
            </w:pPr>
            <w:r w:rsidRPr="00986722">
              <w:rPr>
                <w:rFonts w:eastAsia="Times New Roman"/>
                <w:b/>
                <w:bCs/>
                <w:color w:val="000000"/>
              </w:rPr>
              <w:t>AMI order set</w:t>
            </w:r>
            <w:r w:rsidRPr="00986722">
              <w:rPr>
                <w:rFonts w:eastAsia="Times New Roman"/>
                <w:b/>
                <w:bCs/>
                <w:color w:val="000000"/>
                <w:vertAlign w:val="superscript"/>
              </w:rPr>
              <w:t>2</w:t>
            </w:r>
          </w:p>
        </w:tc>
        <w:tc>
          <w:tcPr>
            <w:tcW w:w="2140" w:type="dxa"/>
            <w:noWrap/>
            <w:hideMark/>
          </w:tcPr>
          <w:p w14:paraId="24F33B62" w14:textId="77777777" w:rsidR="000C6FB1" w:rsidRPr="00986722" w:rsidRDefault="000C6FB1" w:rsidP="00B9712C">
            <w:pPr>
              <w:jc w:val="center"/>
              <w:rPr>
                <w:rFonts w:eastAsia="Times New Roman"/>
                <w:b/>
                <w:bCs/>
                <w:color w:val="000000"/>
              </w:rPr>
            </w:pPr>
            <w:r w:rsidRPr="00986722">
              <w:rPr>
                <w:rFonts w:eastAsia="Times New Roman"/>
                <w:b/>
                <w:bCs/>
                <w:color w:val="000000"/>
              </w:rPr>
              <w:t>A la carte</w:t>
            </w:r>
            <w:r w:rsidRPr="00986722">
              <w:rPr>
                <w:rFonts w:eastAsia="Times New Roman"/>
                <w:b/>
                <w:bCs/>
                <w:color w:val="000000"/>
                <w:vertAlign w:val="superscript"/>
              </w:rPr>
              <w:t>2</w:t>
            </w:r>
            <w:r w:rsidRPr="00986722">
              <w:rPr>
                <w:rFonts w:eastAsia="Times New Roman"/>
                <w:b/>
                <w:bCs/>
                <w:color w:val="000000"/>
              </w:rPr>
              <w:t xml:space="preserve"> orders</w:t>
            </w:r>
          </w:p>
        </w:tc>
        <w:tc>
          <w:tcPr>
            <w:tcW w:w="960" w:type="dxa"/>
            <w:noWrap/>
            <w:hideMark/>
          </w:tcPr>
          <w:p w14:paraId="2239E004" w14:textId="77777777" w:rsidR="000C6FB1" w:rsidRPr="00986722" w:rsidRDefault="000C6FB1" w:rsidP="00B9712C">
            <w:pPr>
              <w:jc w:val="right"/>
              <w:rPr>
                <w:rFonts w:eastAsia="Times New Roman"/>
                <w:color w:val="000000"/>
              </w:rPr>
            </w:pPr>
            <w:r w:rsidRPr="00986722">
              <w:rPr>
                <w:rFonts w:eastAsia="Times New Roman"/>
                <w:color w:val="000000"/>
              </w:rPr>
              <w:t> </w:t>
            </w:r>
          </w:p>
        </w:tc>
      </w:tr>
      <w:tr w:rsidR="000C6FB1" w:rsidRPr="00986722" w14:paraId="47E638D2" w14:textId="77777777" w:rsidTr="004536F0">
        <w:trPr>
          <w:trHeight w:val="300"/>
        </w:trPr>
        <w:tc>
          <w:tcPr>
            <w:tcW w:w="5090" w:type="dxa"/>
            <w:noWrap/>
            <w:hideMark/>
          </w:tcPr>
          <w:p w14:paraId="2568323E" w14:textId="77777777" w:rsidR="000C6FB1" w:rsidRPr="00986722" w:rsidRDefault="000C6FB1" w:rsidP="00B9712C">
            <w:pPr>
              <w:rPr>
                <w:rFonts w:eastAsia="Times New Roman"/>
                <w:color w:val="000000"/>
                <w:sz w:val="20"/>
                <w:szCs w:val="20"/>
              </w:rPr>
            </w:pPr>
          </w:p>
        </w:tc>
        <w:tc>
          <w:tcPr>
            <w:tcW w:w="2230" w:type="dxa"/>
            <w:noWrap/>
            <w:hideMark/>
          </w:tcPr>
          <w:p w14:paraId="295C3BB5" w14:textId="77777777" w:rsidR="000C6FB1" w:rsidRPr="00986722" w:rsidRDefault="000C6FB1" w:rsidP="00B9712C">
            <w:pPr>
              <w:jc w:val="center"/>
              <w:rPr>
                <w:rFonts w:eastAsia="Times New Roman"/>
                <w:color w:val="000000"/>
              </w:rPr>
            </w:pPr>
            <w:r w:rsidRPr="00986722">
              <w:rPr>
                <w:rFonts w:eastAsia="Times New Roman"/>
                <w:color w:val="000000"/>
              </w:rPr>
              <w:t>N=4,012</w:t>
            </w:r>
          </w:p>
        </w:tc>
        <w:tc>
          <w:tcPr>
            <w:tcW w:w="2140" w:type="dxa"/>
            <w:noWrap/>
            <w:hideMark/>
          </w:tcPr>
          <w:p w14:paraId="526B57A9" w14:textId="77777777" w:rsidR="000C6FB1" w:rsidRPr="00986722" w:rsidRDefault="000C6FB1" w:rsidP="00B9712C">
            <w:pPr>
              <w:jc w:val="center"/>
              <w:rPr>
                <w:rFonts w:eastAsia="Times New Roman"/>
                <w:color w:val="000000"/>
              </w:rPr>
            </w:pPr>
            <w:r w:rsidRPr="00986722">
              <w:rPr>
                <w:rFonts w:eastAsia="Times New Roman"/>
                <w:color w:val="000000"/>
              </w:rPr>
              <w:t>N=2,006</w:t>
            </w:r>
          </w:p>
        </w:tc>
        <w:tc>
          <w:tcPr>
            <w:tcW w:w="2140" w:type="dxa"/>
            <w:noWrap/>
            <w:hideMark/>
          </w:tcPr>
          <w:p w14:paraId="7B0EBE1D" w14:textId="77777777" w:rsidR="000C6FB1" w:rsidRPr="00986722" w:rsidRDefault="000C6FB1" w:rsidP="00B9712C">
            <w:pPr>
              <w:jc w:val="center"/>
              <w:rPr>
                <w:rFonts w:eastAsia="Times New Roman"/>
                <w:color w:val="000000"/>
              </w:rPr>
            </w:pPr>
            <w:r w:rsidRPr="00986722">
              <w:rPr>
                <w:rFonts w:eastAsia="Times New Roman"/>
                <w:color w:val="000000"/>
              </w:rPr>
              <w:t>N=2,006</w:t>
            </w:r>
          </w:p>
        </w:tc>
        <w:tc>
          <w:tcPr>
            <w:tcW w:w="960" w:type="dxa"/>
            <w:noWrap/>
            <w:hideMark/>
          </w:tcPr>
          <w:p w14:paraId="7FA068ED" w14:textId="77777777" w:rsidR="000C6FB1" w:rsidRPr="00986722" w:rsidRDefault="000C6FB1" w:rsidP="00B9712C">
            <w:pPr>
              <w:jc w:val="right"/>
              <w:rPr>
                <w:rFonts w:eastAsia="Times New Roman"/>
                <w:color w:val="000000"/>
              </w:rPr>
            </w:pPr>
          </w:p>
        </w:tc>
      </w:tr>
      <w:tr w:rsidR="000C6FB1" w:rsidRPr="00986722" w14:paraId="16A32684" w14:textId="77777777" w:rsidTr="004536F0">
        <w:trPr>
          <w:trHeight w:val="300"/>
        </w:trPr>
        <w:tc>
          <w:tcPr>
            <w:tcW w:w="5090" w:type="dxa"/>
            <w:noWrap/>
            <w:hideMark/>
          </w:tcPr>
          <w:p w14:paraId="661E9958"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Age in years median(mean ± SD</w:t>
            </w:r>
            <w:r w:rsidRPr="00986722">
              <w:rPr>
                <w:rFonts w:eastAsia="Times New Roman"/>
                <w:b/>
                <w:bCs/>
                <w:color w:val="000000"/>
                <w:sz w:val="20"/>
                <w:szCs w:val="20"/>
                <w:vertAlign w:val="superscript"/>
              </w:rPr>
              <w:t>3</w:t>
            </w:r>
            <w:r w:rsidRPr="00986722">
              <w:rPr>
                <w:rFonts w:eastAsia="Times New Roman"/>
                <w:b/>
                <w:bCs/>
                <w:color w:val="000000"/>
                <w:sz w:val="20"/>
                <w:szCs w:val="20"/>
              </w:rPr>
              <w:t>)</w:t>
            </w:r>
          </w:p>
        </w:tc>
        <w:tc>
          <w:tcPr>
            <w:tcW w:w="2230" w:type="dxa"/>
            <w:noWrap/>
            <w:hideMark/>
          </w:tcPr>
          <w:p w14:paraId="3EEDA2A1" w14:textId="77777777" w:rsidR="000C6FB1" w:rsidRPr="00986722" w:rsidRDefault="000C6FB1" w:rsidP="00B9712C">
            <w:pPr>
              <w:jc w:val="center"/>
              <w:rPr>
                <w:rFonts w:eastAsia="Times New Roman"/>
                <w:color w:val="000000"/>
              </w:rPr>
            </w:pPr>
            <w:r w:rsidRPr="00986722">
              <w:rPr>
                <w:rFonts w:eastAsia="Times New Roman"/>
                <w:color w:val="000000"/>
              </w:rPr>
              <w:t>71 ( 69.8 ± 13.7)</w:t>
            </w:r>
          </w:p>
        </w:tc>
        <w:tc>
          <w:tcPr>
            <w:tcW w:w="2140" w:type="dxa"/>
            <w:noWrap/>
            <w:hideMark/>
          </w:tcPr>
          <w:p w14:paraId="3D84D647" w14:textId="77777777" w:rsidR="000C6FB1" w:rsidRPr="00986722" w:rsidRDefault="000C6FB1" w:rsidP="00B9712C">
            <w:pPr>
              <w:jc w:val="center"/>
              <w:rPr>
                <w:rFonts w:eastAsia="Times New Roman"/>
                <w:color w:val="000000"/>
              </w:rPr>
            </w:pPr>
            <w:r w:rsidRPr="00986722">
              <w:rPr>
                <w:rFonts w:eastAsia="Times New Roman"/>
                <w:color w:val="000000"/>
              </w:rPr>
              <w:t>71 ( 69.8 ± 13.6)</w:t>
            </w:r>
          </w:p>
        </w:tc>
        <w:tc>
          <w:tcPr>
            <w:tcW w:w="2140" w:type="dxa"/>
            <w:noWrap/>
            <w:hideMark/>
          </w:tcPr>
          <w:p w14:paraId="2C1D28D4" w14:textId="77777777" w:rsidR="000C6FB1" w:rsidRPr="00986722" w:rsidRDefault="000C6FB1" w:rsidP="00B9712C">
            <w:pPr>
              <w:jc w:val="center"/>
              <w:rPr>
                <w:rFonts w:eastAsia="Times New Roman"/>
                <w:color w:val="000000"/>
              </w:rPr>
            </w:pPr>
            <w:r w:rsidRPr="00986722">
              <w:rPr>
                <w:rFonts w:eastAsia="Times New Roman"/>
                <w:color w:val="000000"/>
              </w:rPr>
              <w:t>70 ( 69.7 ± 13.7)</w:t>
            </w:r>
          </w:p>
        </w:tc>
        <w:tc>
          <w:tcPr>
            <w:tcW w:w="960" w:type="dxa"/>
            <w:noWrap/>
            <w:hideMark/>
          </w:tcPr>
          <w:p w14:paraId="75B407FB" w14:textId="77777777" w:rsidR="000C6FB1" w:rsidRPr="00986722" w:rsidRDefault="000C6FB1" w:rsidP="00B9712C">
            <w:pPr>
              <w:jc w:val="right"/>
              <w:rPr>
                <w:rFonts w:eastAsia="Times New Roman"/>
                <w:color w:val="000000"/>
              </w:rPr>
            </w:pPr>
            <w:r w:rsidRPr="00986722">
              <w:rPr>
                <w:rFonts w:eastAsia="Times New Roman"/>
                <w:color w:val="000000"/>
              </w:rPr>
              <w:t>0.9236</w:t>
            </w:r>
          </w:p>
        </w:tc>
      </w:tr>
      <w:tr w:rsidR="000C6FB1" w:rsidRPr="00986722" w14:paraId="4CFAA60D" w14:textId="77777777" w:rsidTr="004536F0">
        <w:trPr>
          <w:trHeight w:val="300"/>
        </w:trPr>
        <w:tc>
          <w:tcPr>
            <w:tcW w:w="5090" w:type="dxa"/>
            <w:noWrap/>
            <w:hideMark/>
          </w:tcPr>
          <w:p w14:paraId="0C0952E0"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Age (% &gt; 65 years)</w:t>
            </w:r>
          </w:p>
        </w:tc>
        <w:tc>
          <w:tcPr>
            <w:tcW w:w="2230" w:type="dxa"/>
            <w:noWrap/>
            <w:hideMark/>
          </w:tcPr>
          <w:p w14:paraId="5CBD0256" w14:textId="77777777" w:rsidR="000C6FB1" w:rsidRPr="00986722" w:rsidRDefault="000C6FB1" w:rsidP="00B9712C">
            <w:pPr>
              <w:jc w:val="center"/>
              <w:rPr>
                <w:rFonts w:eastAsia="Times New Roman"/>
                <w:color w:val="000000"/>
              </w:rPr>
            </w:pPr>
            <w:r w:rsidRPr="00986722">
              <w:rPr>
                <w:rFonts w:eastAsia="Times New Roman"/>
                <w:color w:val="000000"/>
              </w:rPr>
              <w:t xml:space="preserve">2,480 </w:t>
            </w:r>
            <w:proofErr w:type="gramStart"/>
            <w:r w:rsidRPr="00986722">
              <w:rPr>
                <w:rFonts w:eastAsia="Times New Roman"/>
                <w:color w:val="000000"/>
              </w:rPr>
              <w:t>( 61.8</w:t>
            </w:r>
            <w:proofErr w:type="gramEnd"/>
            <w:r w:rsidRPr="00986722">
              <w:rPr>
                <w:rFonts w:eastAsia="Times New Roman"/>
                <w:color w:val="000000"/>
              </w:rPr>
              <w:t>%)</w:t>
            </w:r>
          </w:p>
        </w:tc>
        <w:tc>
          <w:tcPr>
            <w:tcW w:w="2140" w:type="dxa"/>
            <w:noWrap/>
            <w:hideMark/>
          </w:tcPr>
          <w:p w14:paraId="5A0F8877" w14:textId="77777777" w:rsidR="000C6FB1" w:rsidRPr="00986722" w:rsidRDefault="000C6FB1" w:rsidP="00B9712C">
            <w:pPr>
              <w:jc w:val="center"/>
              <w:rPr>
                <w:rFonts w:eastAsia="Times New Roman"/>
                <w:color w:val="000000"/>
              </w:rPr>
            </w:pPr>
            <w:r w:rsidRPr="00986722">
              <w:rPr>
                <w:rFonts w:eastAsia="Times New Roman"/>
                <w:color w:val="000000"/>
              </w:rPr>
              <w:t xml:space="preserve">1,233 </w:t>
            </w:r>
            <w:proofErr w:type="gramStart"/>
            <w:r w:rsidRPr="00986722">
              <w:rPr>
                <w:rFonts w:eastAsia="Times New Roman"/>
                <w:color w:val="000000"/>
              </w:rPr>
              <w:t>( 61.5</w:t>
            </w:r>
            <w:proofErr w:type="gramEnd"/>
            <w:r w:rsidRPr="00986722">
              <w:rPr>
                <w:rFonts w:eastAsia="Times New Roman"/>
                <w:color w:val="000000"/>
              </w:rPr>
              <w:t>%)</w:t>
            </w:r>
          </w:p>
        </w:tc>
        <w:tc>
          <w:tcPr>
            <w:tcW w:w="2140" w:type="dxa"/>
            <w:noWrap/>
            <w:hideMark/>
          </w:tcPr>
          <w:p w14:paraId="20F3144D" w14:textId="77777777" w:rsidR="000C6FB1" w:rsidRPr="00986722" w:rsidRDefault="000C6FB1" w:rsidP="00B9712C">
            <w:pPr>
              <w:jc w:val="center"/>
              <w:rPr>
                <w:rFonts w:eastAsia="Times New Roman"/>
                <w:color w:val="000000"/>
              </w:rPr>
            </w:pPr>
            <w:r w:rsidRPr="00986722">
              <w:rPr>
                <w:rFonts w:eastAsia="Times New Roman"/>
                <w:color w:val="000000"/>
              </w:rPr>
              <w:t xml:space="preserve">1,247 </w:t>
            </w:r>
            <w:proofErr w:type="gramStart"/>
            <w:r w:rsidRPr="00986722">
              <w:rPr>
                <w:rFonts w:eastAsia="Times New Roman"/>
                <w:color w:val="000000"/>
              </w:rPr>
              <w:t>( 62.2</w:t>
            </w:r>
            <w:proofErr w:type="gramEnd"/>
            <w:r w:rsidRPr="00986722">
              <w:rPr>
                <w:rFonts w:eastAsia="Times New Roman"/>
                <w:color w:val="000000"/>
              </w:rPr>
              <w:t>%)</w:t>
            </w:r>
          </w:p>
        </w:tc>
        <w:tc>
          <w:tcPr>
            <w:tcW w:w="960" w:type="dxa"/>
            <w:noWrap/>
            <w:hideMark/>
          </w:tcPr>
          <w:p w14:paraId="285E83FF" w14:textId="77777777" w:rsidR="000C6FB1" w:rsidRPr="00986722" w:rsidRDefault="000C6FB1" w:rsidP="00B9712C">
            <w:pPr>
              <w:jc w:val="right"/>
              <w:rPr>
                <w:rFonts w:eastAsia="Times New Roman"/>
                <w:color w:val="000000"/>
              </w:rPr>
            </w:pPr>
            <w:r w:rsidRPr="00986722">
              <w:rPr>
                <w:rFonts w:eastAsia="Times New Roman"/>
                <w:color w:val="000000"/>
              </w:rPr>
              <w:t>0.6492</w:t>
            </w:r>
          </w:p>
        </w:tc>
      </w:tr>
      <w:tr w:rsidR="000C6FB1" w:rsidRPr="00986722" w14:paraId="5E7EAA1D" w14:textId="77777777" w:rsidTr="004536F0">
        <w:trPr>
          <w:trHeight w:val="300"/>
        </w:trPr>
        <w:tc>
          <w:tcPr>
            <w:tcW w:w="5090" w:type="dxa"/>
            <w:noWrap/>
            <w:hideMark/>
          </w:tcPr>
          <w:p w14:paraId="46C12773"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Sex (% male)</w:t>
            </w:r>
          </w:p>
        </w:tc>
        <w:tc>
          <w:tcPr>
            <w:tcW w:w="2230" w:type="dxa"/>
            <w:noWrap/>
            <w:hideMark/>
          </w:tcPr>
          <w:p w14:paraId="7B1341BD" w14:textId="77777777" w:rsidR="000C6FB1" w:rsidRPr="00986722" w:rsidRDefault="000C6FB1" w:rsidP="00B9712C">
            <w:pPr>
              <w:jc w:val="center"/>
              <w:rPr>
                <w:rFonts w:eastAsia="Times New Roman"/>
                <w:color w:val="000000"/>
              </w:rPr>
            </w:pPr>
            <w:r w:rsidRPr="00986722">
              <w:rPr>
                <w:rFonts w:eastAsia="Times New Roman"/>
                <w:color w:val="000000"/>
              </w:rPr>
              <w:t xml:space="preserve">2,466 </w:t>
            </w:r>
            <w:proofErr w:type="gramStart"/>
            <w:r w:rsidRPr="00986722">
              <w:rPr>
                <w:rFonts w:eastAsia="Times New Roman"/>
                <w:color w:val="000000"/>
              </w:rPr>
              <w:t>( 61.5</w:t>
            </w:r>
            <w:proofErr w:type="gramEnd"/>
            <w:r w:rsidRPr="00986722">
              <w:rPr>
                <w:rFonts w:eastAsia="Times New Roman"/>
                <w:color w:val="000000"/>
              </w:rPr>
              <w:t>%)</w:t>
            </w:r>
          </w:p>
        </w:tc>
        <w:tc>
          <w:tcPr>
            <w:tcW w:w="2140" w:type="dxa"/>
            <w:noWrap/>
            <w:hideMark/>
          </w:tcPr>
          <w:p w14:paraId="2CCDDD22" w14:textId="77777777" w:rsidR="000C6FB1" w:rsidRPr="00986722" w:rsidRDefault="000C6FB1" w:rsidP="00B9712C">
            <w:pPr>
              <w:jc w:val="center"/>
              <w:rPr>
                <w:rFonts w:eastAsia="Times New Roman"/>
                <w:color w:val="000000"/>
              </w:rPr>
            </w:pPr>
            <w:r w:rsidRPr="00986722">
              <w:rPr>
                <w:rFonts w:eastAsia="Times New Roman"/>
                <w:color w:val="000000"/>
              </w:rPr>
              <w:t xml:space="preserve">1,243 </w:t>
            </w:r>
            <w:proofErr w:type="gramStart"/>
            <w:r w:rsidRPr="00986722">
              <w:rPr>
                <w:rFonts w:eastAsia="Times New Roman"/>
                <w:color w:val="000000"/>
              </w:rPr>
              <w:t>( 62.0</w:t>
            </w:r>
            <w:proofErr w:type="gramEnd"/>
            <w:r w:rsidRPr="00986722">
              <w:rPr>
                <w:rFonts w:eastAsia="Times New Roman"/>
                <w:color w:val="000000"/>
              </w:rPr>
              <w:t>%)</w:t>
            </w:r>
          </w:p>
        </w:tc>
        <w:tc>
          <w:tcPr>
            <w:tcW w:w="2140" w:type="dxa"/>
            <w:noWrap/>
            <w:hideMark/>
          </w:tcPr>
          <w:p w14:paraId="70A9235C" w14:textId="77777777" w:rsidR="000C6FB1" w:rsidRPr="00986722" w:rsidRDefault="000C6FB1" w:rsidP="00B9712C">
            <w:pPr>
              <w:jc w:val="center"/>
              <w:rPr>
                <w:rFonts w:eastAsia="Times New Roman"/>
                <w:color w:val="000000"/>
              </w:rPr>
            </w:pPr>
            <w:r w:rsidRPr="00986722">
              <w:rPr>
                <w:rFonts w:eastAsia="Times New Roman"/>
                <w:color w:val="000000"/>
              </w:rPr>
              <w:t xml:space="preserve">1,223 </w:t>
            </w:r>
            <w:proofErr w:type="gramStart"/>
            <w:r w:rsidRPr="00986722">
              <w:rPr>
                <w:rFonts w:eastAsia="Times New Roman"/>
                <w:color w:val="000000"/>
              </w:rPr>
              <w:t>( 61.0</w:t>
            </w:r>
            <w:proofErr w:type="gramEnd"/>
            <w:r w:rsidRPr="00986722">
              <w:rPr>
                <w:rFonts w:eastAsia="Times New Roman"/>
                <w:color w:val="000000"/>
              </w:rPr>
              <w:t>%)</w:t>
            </w:r>
          </w:p>
        </w:tc>
        <w:tc>
          <w:tcPr>
            <w:tcW w:w="960" w:type="dxa"/>
            <w:noWrap/>
            <w:hideMark/>
          </w:tcPr>
          <w:p w14:paraId="23BE819A" w14:textId="77777777" w:rsidR="000C6FB1" w:rsidRPr="00986722" w:rsidRDefault="000C6FB1" w:rsidP="00B9712C">
            <w:pPr>
              <w:jc w:val="right"/>
              <w:rPr>
                <w:rFonts w:eastAsia="Times New Roman"/>
                <w:color w:val="000000"/>
              </w:rPr>
            </w:pPr>
            <w:r w:rsidRPr="00986722">
              <w:rPr>
                <w:rFonts w:eastAsia="Times New Roman"/>
                <w:color w:val="000000"/>
              </w:rPr>
              <w:t>0.5165</w:t>
            </w:r>
          </w:p>
        </w:tc>
      </w:tr>
      <w:tr w:rsidR="000C6FB1" w:rsidRPr="00986722" w14:paraId="520DE288" w14:textId="77777777" w:rsidTr="004536F0">
        <w:trPr>
          <w:trHeight w:val="300"/>
        </w:trPr>
        <w:tc>
          <w:tcPr>
            <w:tcW w:w="5090" w:type="dxa"/>
            <w:noWrap/>
            <w:hideMark/>
          </w:tcPr>
          <w:p w14:paraId="3C510B14"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STEMI</w:t>
            </w:r>
            <w:r w:rsidRPr="00986722">
              <w:rPr>
                <w:rFonts w:eastAsia="Times New Roman"/>
                <w:b/>
                <w:bCs/>
                <w:color w:val="000000"/>
                <w:sz w:val="20"/>
                <w:szCs w:val="20"/>
                <w:vertAlign w:val="superscript"/>
              </w:rPr>
              <w:t>4</w:t>
            </w:r>
            <w:r w:rsidRPr="00986722">
              <w:rPr>
                <w:rFonts w:eastAsia="Times New Roman"/>
                <w:b/>
                <w:bCs/>
                <w:color w:val="000000"/>
                <w:sz w:val="20"/>
                <w:szCs w:val="20"/>
              </w:rPr>
              <w:t xml:space="preserve"> (% with)</w:t>
            </w:r>
          </w:p>
        </w:tc>
        <w:tc>
          <w:tcPr>
            <w:tcW w:w="2230" w:type="dxa"/>
            <w:noWrap/>
            <w:hideMark/>
          </w:tcPr>
          <w:p w14:paraId="0C22D15D" w14:textId="77777777" w:rsidR="000C6FB1" w:rsidRPr="00986722" w:rsidRDefault="000C6FB1" w:rsidP="00B9712C">
            <w:pPr>
              <w:jc w:val="center"/>
              <w:rPr>
                <w:rFonts w:eastAsia="Times New Roman"/>
                <w:color w:val="000000"/>
              </w:rPr>
            </w:pPr>
            <w:r w:rsidRPr="00986722">
              <w:rPr>
                <w:rFonts w:eastAsia="Times New Roman"/>
                <w:color w:val="000000"/>
              </w:rPr>
              <w:t xml:space="preserve">281 </w:t>
            </w:r>
            <w:proofErr w:type="gramStart"/>
            <w:r w:rsidRPr="00986722">
              <w:rPr>
                <w:rFonts w:eastAsia="Times New Roman"/>
                <w:color w:val="000000"/>
              </w:rPr>
              <w:t>( 7.0</w:t>
            </w:r>
            <w:proofErr w:type="gramEnd"/>
            <w:r w:rsidRPr="00986722">
              <w:rPr>
                <w:rFonts w:eastAsia="Times New Roman"/>
                <w:color w:val="000000"/>
              </w:rPr>
              <w:t>%)</w:t>
            </w:r>
          </w:p>
        </w:tc>
        <w:tc>
          <w:tcPr>
            <w:tcW w:w="2140" w:type="dxa"/>
            <w:noWrap/>
            <w:hideMark/>
          </w:tcPr>
          <w:p w14:paraId="2EC6A11F" w14:textId="77777777" w:rsidR="000C6FB1" w:rsidRPr="00986722" w:rsidRDefault="000C6FB1" w:rsidP="00B9712C">
            <w:pPr>
              <w:jc w:val="center"/>
              <w:rPr>
                <w:rFonts w:eastAsia="Times New Roman"/>
                <w:color w:val="000000"/>
              </w:rPr>
            </w:pPr>
            <w:r w:rsidRPr="00986722">
              <w:rPr>
                <w:rFonts w:eastAsia="Times New Roman"/>
                <w:color w:val="000000"/>
              </w:rPr>
              <w:t xml:space="preserve">135 </w:t>
            </w:r>
            <w:proofErr w:type="gramStart"/>
            <w:r w:rsidRPr="00986722">
              <w:rPr>
                <w:rFonts w:eastAsia="Times New Roman"/>
                <w:color w:val="000000"/>
              </w:rPr>
              <w:t>( 6.7</w:t>
            </w:r>
            <w:proofErr w:type="gramEnd"/>
            <w:r w:rsidRPr="00986722">
              <w:rPr>
                <w:rFonts w:eastAsia="Times New Roman"/>
                <w:color w:val="000000"/>
              </w:rPr>
              <w:t>%)</w:t>
            </w:r>
          </w:p>
        </w:tc>
        <w:tc>
          <w:tcPr>
            <w:tcW w:w="2140" w:type="dxa"/>
            <w:noWrap/>
            <w:hideMark/>
          </w:tcPr>
          <w:p w14:paraId="151FEEEB" w14:textId="77777777" w:rsidR="000C6FB1" w:rsidRPr="00986722" w:rsidRDefault="000C6FB1" w:rsidP="00B9712C">
            <w:pPr>
              <w:jc w:val="center"/>
              <w:rPr>
                <w:rFonts w:eastAsia="Times New Roman"/>
                <w:color w:val="000000"/>
              </w:rPr>
            </w:pPr>
            <w:r w:rsidRPr="00986722">
              <w:rPr>
                <w:rFonts w:eastAsia="Times New Roman"/>
                <w:color w:val="000000"/>
              </w:rPr>
              <w:t xml:space="preserve">146 </w:t>
            </w:r>
            <w:proofErr w:type="gramStart"/>
            <w:r w:rsidRPr="00986722">
              <w:rPr>
                <w:rFonts w:eastAsia="Times New Roman"/>
                <w:color w:val="000000"/>
              </w:rPr>
              <w:t>( 7.3</w:t>
            </w:r>
            <w:proofErr w:type="gramEnd"/>
            <w:r w:rsidRPr="00986722">
              <w:rPr>
                <w:rFonts w:eastAsia="Times New Roman"/>
                <w:color w:val="000000"/>
              </w:rPr>
              <w:t>%)</w:t>
            </w:r>
          </w:p>
        </w:tc>
        <w:tc>
          <w:tcPr>
            <w:tcW w:w="960" w:type="dxa"/>
            <w:noWrap/>
            <w:hideMark/>
          </w:tcPr>
          <w:p w14:paraId="051D59E2" w14:textId="77777777" w:rsidR="000C6FB1" w:rsidRPr="00986722" w:rsidRDefault="000C6FB1" w:rsidP="00B9712C">
            <w:pPr>
              <w:jc w:val="right"/>
              <w:rPr>
                <w:rFonts w:eastAsia="Times New Roman"/>
                <w:color w:val="000000"/>
              </w:rPr>
            </w:pPr>
            <w:r w:rsidRPr="00986722">
              <w:rPr>
                <w:rFonts w:eastAsia="Times New Roman"/>
                <w:color w:val="000000"/>
              </w:rPr>
              <w:t>0.4962</w:t>
            </w:r>
          </w:p>
        </w:tc>
      </w:tr>
      <w:tr w:rsidR="000C6FB1" w:rsidRPr="00986722" w14:paraId="42569490" w14:textId="77777777" w:rsidTr="004536F0">
        <w:trPr>
          <w:trHeight w:val="300"/>
        </w:trPr>
        <w:tc>
          <w:tcPr>
            <w:tcW w:w="5090" w:type="dxa"/>
            <w:noWrap/>
            <w:hideMark/>
          </w:tcPr>
          <w:p w14:paraId="79B8546B" w14:textId="77777777" w:rsidR="000C6FB1" w:rsidRPr="00986722" w:rsidRDefault="000C6FB1" w:rsidP="00B9712C">
            <w:pPr>
              <w:rPr>
                <w:rFonts w:eastAsia="Times New Roman"/>
                <w:b/>
                <w:bCs/>
                <w:color w:val="000000"/>
                <w:sz w:val="20"/>
                <w:szCs w:val="20"/>
              </w:rPr>
            </w:pPr>
            <w:r w:rsidRPr="00986722">
              <w:rPr>
                <w:rFonts w:eastAsia="Times New Roman"/>
                <w:b/>
                <w:bCs/>
                <w:color w:val="000000" w:themeColor="text1"/>
                <w:sz w:val="20"/>
              </w:rPr>
              <w:t>Troponin I (% missing)</w:t>
            </w:r>
          </w:p>
        </w:tc>
        <w:tc>
          <w:tcPr>
            <w:tcW w:w="2230" w:type="dxa"/>
            <w:noWrap/>
            <w:hideMark/>
          </w:tcPr>
          <w:p w14:paraId="2F8B84FC" w14:textId="77777777" w:rsidR="000C6FB1" w:rsidRPr="00986722" w:rsidRDefault="000C6FB1" w:rsidP="00B9712C">
            <w:pPr>
              <w:jc w:val="center"/>
              <w:rPr>
                <w:rFonts w:eastAsia="Times New Roman"/>
                <w:color w:val="000000"/>
              </w:rPr>
            </w:pPr>
            <w:r w:rsidRPr="00986722">
              <w:rPr>
                <w:rFonts w:eastAsia="Times New Roman"/>
                <w:color w:val="000000"/>
              </w:rPr>
              <w:t xml:space="preserve">199 </w:t>
            </w:r>
            <w:proofErr w:type="gramStart"/>
            <w:r w:rsidRPr="00986722">
              <w:rPr>
                <w:rFonts w:eastAsia="Times New Roman"/>
                <w:color w:val="000000"/>
              </w:rPr>
              <w:t>( 4.96</w:t>
            </w:r>
            <w:proofErr w:type="gramEnd"/>
            <w:r w:rsidRPr="00986722">
              <w:rPr>
                <w:rFonts w:eastAsia="Times New Roman"/>
                <w:color w:val="000000"/>
              </w:rPr>
              <w:t>%)</w:t>
            </w:r>
          </w:p>
        </w:tc>
        <w:tc>
          <w:tcPr>
            <w:tcW w:w="2140" w:type="dxa"/>
            <w:noWrap/>
            <w:hideMark/>
          </w:tcPr>
          <w:p w14:paraId="1679719F" w14:textId="77777777" w:rsidR="000C6FB1" w:rsidRPr="00986722" w:rsidRDefault="000C6FB1" w:rsidP="00B9712C">
            <w:pPr>
              <w:jc w:val="center"/>
              <w:rPr>
                <w:rFonts w:eastAsia="Times New Roman"/>
                <w:color w:val="000000"/>
              </w:rPr>
            </w:pPr>
            <w:r w:rsidRPr="00986722">
              <w:rPr>
                <w:rFonts w:eastAsia="Times New Roman"/>
                <w:color w:val="000000"/>
              </w:rPr>
              <w:t xml:space="preserve">65 </w:t>
            </w:r>
            <w:proofErr w:type="gramStart"/>
            <w:r w:rsidRPr="00986722">
              <w:rPr>
                <w:rFonts w:eastAsia="Times New Roman"/>
                <w:color w:val="000000"/>
              </w:rPr>
              <w:t>( 3.2</w:t>
            </w:r>
            <w:proofErr w:type="gramEnd"/>
            <w:r w:rsidRPr="00986722">
              <w:rPr>
                <w:rFonts w:eastAsia="Times New Roman"/>
                <w:color w:val="000000"/>
              </w:rPr>
              <w:t>%)</w:t>
            </w:r>
          </w:p>
        </w:tc>
        <w:tc>
          <w:tcPr>
            <w:tcW w:w="2140" w:type="dxa"/>
            <w:noWrap/>
            <w:hideMark/>
          </w:tcPr>
          <w:p w14:paraId="4C088B78" w14:textId="77777777" w:rsidR="000C6FB1" w:rsidRPr="00986722" w:rsidRDefault="000C6FB1" w:rsidP="00B9712C">
            <w:pPr>
              <w:jc w:val="center"/>
              <w:rPr>
                <w:rFonts w:eastAsia="Times New Roman"/>
                <w:color w:val="000000"/>
              </w:rPr>
            </w:pPr>
            <w:r w:rsidRPr="00986722">
              <w:rPr>
                <w:rFonts w:eastAsia="Times New Roman"/>
                <w:color w:val="000000"/>
              </w:rPr>
              <w:t xml:space="preserve">134 </w:t>
            </w:r>
            <w:proofErr w:type="gramStart"/>
            <w:r w:rsidRPr="00986722">
              <w:rPr>
                <w:rFonts w:eastAsia="Times New Roman"/>
                <w:color w:val="000000"/>
              </w:rPr>
              <w:t>( 6.7</w:t>
            </w:r>
            <w:proofErr w:type="gramEnd"/>
            <w:r w:rsidRPr="00986722">
              <w:rPr>
                <w:rFonts w:eastAsia="Times New Roman"/>
                <w:color w:val="000000"/>
              </w:rPr>
              <w:t>%)</w:t>
            </w:r>
          </w:p>
        </w:tc>
        <w:tc>
          <w:tcPr>
            <w:tcW w:w="960" w:type="dxa"/>
            <w:noWrap/>
            <w:hideMark/>
          </w:tcPr>
          <w:p w14:paraId="7EDB68F6"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3489DA55" w14:textId="77777777" w:rsidTr="004536F0">
        <w:trPr>
          <w:trHeight w:val="300"/>
        </w:trPr>
        <w:tc>
          <w:tcPr>
            <w:tcW w:w="5090" w:type="dxa"/>
            <w:noWrap/>
            <w:hideMark/>
          </w:tcPr>
          <w:p w14:paraId="0E8E2112" w14:textId="77777777" w:rsidR="000C6FB1" w:rsidRPr="00986722" w:rsidRDefault="000C6FB1" w:rsidP="00B9712C">
            <w:pPr>
              <w:rPr>
                <w:rFonts w:eastAsia="Times New Roman"/>
                <w:b/>
                <w:bCs/>
                <w:color w:val="000000"/>
                <w:sz w:val="20"/>
                <w:szCs w:val="20"/>
              </w:rPr>
            </w:pPr>
            <w:r w:rsidRPr="00986722">
              <w:rPr>
                <w:rFonts w:eastAsia="Times New Roman"/>
                <w:b/>
                <w:bCs/>
                <w:color w:val="000000" w:themeColor="text1"/>
                <w:sz w:val="20"/>
              </w:rPr>
              <w:t>Troponin I median(mean ± SD)</w:t>
            </w:r>
          </w:p>
        </w:tc>
        <w:tc>
          <w:tcPr>
            <w:tcW w:w="2230" w:type="dxa"/>
            <w:noWrap/>
            <w:hideMark/>
          </w:tcPr>
          <w:p w14:paraId="7D977153" w14:textId="77777777" w:rsidR="000C6FB1" w:rsidRPr="00986722" w:rsidRDefault="000C6FB1" w:rsidP="00B9712C">
            <w:pPr>
              <w:jc w:val="center"/>
              <w:rPr>
                <w:rFonts w:eastAsia="Times New Roman"/>
                <w:color w:val="000000"/>
              </w:rPr>
            </w:pPr>
            <w:r w:rsidRPr="00986722">
              <w:rPr>
                <w:rFonts w:eastAsia="Times New Roman"/>
                <w:color w:val="000000"/>
              </w:rPr>
              <w:t>0.42 ( 2.9 ± 9.0)</w:t>
            </w:r>
          </w:p>
        </w:tc>
        <w:tc>
          <w:tcPr>
            <w:tcW w:w="2140" w:type="dxa"/>
            <w:noWrap/>
            <w:hideMark/>
          </w:tcPr>
          <w:p w14:paraId="35E3696D" w14:textId="77777777" w:rsidR="000C6FB1" w:rsidRPr="00986722" w:rsidRDefault="000C6FB1" w:rsidP="00B9712C">
            <w:pPr>
              <w:jc w:val="center"/>
              <w:rPr>
                <w:rFonts w:eastAsia="Times New Roman"/>
                <w:color w:val="000000"/>
              </w:rPr>
            </w:pPr>
            <w:r w:rsidRPr="00986722">
              <w:rPr>
                <w:rFonts w:eastAsia="Times New Roman"/>
                <w:color w:val="000000"/>
              </w:rPr>
              <w:t>0.59 ( 3.1 ± 8.5)</w:t>
            </w:r>
          </w:p>
        </w:tc>
        <w:tc>
          <w:tcPr>
            <w:tcW w:w="2140" w:type="dxa"/>
            <w:noWrap/>
            <w:hideMark/>
          </w:tcPr>
          <w:p w14:paraId="70504034" w14:textId="77777777" w:rsidR="000C6FB1" w:rsidRPr="00986722" w:rsidRDefault="000C6FB1" w:rsidP="00B9712C">
            <w:pPr>
              <w:jc w:val="center"/>
              <w:rPr>
                <w:rFonts w:eastAsia="Times New Roman"/>
                <w:color w:val="000000"/>
              </w:rPr>
            </w:pPr>
            <w:r w:rsidRPr="00986722">
              <w:rPr>
                <w:rFonts w:eastAsia="Times New Roman"/>
                <w:color w:val="000000"/>
              </w:rPr>
              <w:t>0.30 ( 2.7 ± 9.4)</w:t>
            </w:r>
          </w:p>
        </w:tc>
        <w:tc>
          <w:tcPr>
            <w:tcW w:w="960" w:type="dxa"/>
            <w:noWrap/>
            <w:hideMark/>
          </w:tcPr>
          <w:p w14:paraId="51BC0147" w14:textId="77777777" w:rsidR="000C6FB1" w:rsidRPr="00986722" w:rsidRDefault="000C6FB1" w:rsidP="00B9712C">
            <w:pPr>
              <w:jc w:val="right"/>
              <w:rPr>
                <w:rFonts w:eastAsia="Times New Roman"/>
                <w:color w:val="000000"/>
              </w:rPr>
            </w:pPr>
            <w:r w:rsidRPr="00986722">
              <w:rPr>
                <w:rFonts w:eastAsia="Times New Roman"/>
                <w:color w:val="000000"/>
              </w:rPr>
              <w:t>0.139</w:t>
            </w:r>
          </w:p>
        </w:tc>
      </w:tr>
      <w:tr w:rsidR="000C6FB1" w:rsidRPr="00986722" w14:paraId="10C40174" w14:textId="77777777" w:rsidTr="004536F0">
        <w:trPr>
          <w:trHeight w:val="300"/>
        </w:trPr>
        <w:tc>
          <w:tcPr>
            <w:tcW w:w="5090" w:type="dxa"/>
            <w:noWrap/>
            <w:hideMark/>
          </w:tcPr>
          <w:p w14:paraId="2789CB0B"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Charlson Score</w:t>
            </w:r>
            <w:r w:rsidRPr="00986722">
              <w:rPr>
                <w:rFonts w:eastAsia="Times New Roman"/>
                <w:b/>
                <w:bCs/>
                <w:color w:val="000000"/>
                <w:sz w:val="20"/>
                <w:szCs w:val="20"/>
                <w:vertAlign w:val="superscript"/>
              </w:rPr>
              <w:t>5</w:t>
            </w:r>
            <w:r w:rsidRPr="00986722">
              <w:rPr>
                <w:rFonts w:eastAsia="Times New Roman"/>
                <w:b/>
                <w:bCs/>
                <w:color w:val="000000"/>
                <w:sz w:val="20"/>
                <w:szCs w:val="20"/>
              </w:rPr>
              <w:t xml:space="preserve"> median(mean ± SD)</w:t>
            </w:r>
          </w:p>
        </w:tc>
        <w:tc>
          <w:tcPr>
            <w:tcW w:w="2230" w:type="dxa"/>
            <w:noWrap/>
            <w:hideMark/>
          </w:tcPr>
          <w:p w14:paraId="6C3F2881" w14:textId="77777777" w:rsidR="000C6FB1" w:rsidRPr="00986722" w:rsidRDefault="000C6FB1" w:rsidP="00B9712C">
            <w:pPr>
              <w:jc w:val="center"/>
              <w:rPr>
                <w:rFonts w:eastAsia="Times New Roman"/>
                <w:color w:val="000000"/>
              </w:rPr>
            </w:pPr>
            <w:r w:rsidRPr="00986722">
              <w:rPr>
                <w:rFonts w:eastAsia="Times New Roman"/>
                <w:color w:val="000000"/>
              </w:rPr>
              <w:t>2.0 ( 2.8 ± 1.6)</w:t>
            </w:r>
          </w:p>
        </w:tc>
        <w:tc>
          <w:tcPr>
            <w:tcW w:w="2140" w:type="dxa"/>
            <w:noWrap/>
            <w:hideMark/>
          </w:tcPr>
          <w:p w14:paraId="4E01CFF4" w14:textId="77777777" w:rsidR="000C6FB1" w:rsidRPr="00986722" w:rsidRDefault="000C6FB1" w:rsidP="00B9712C">
            <w:pPr>
              <w:jc w:val="center"/>
              <w:rPr>
                <w:rFonts w:eastAsia="Times New Roman"/>
                <w:color w:val="000000"/>
              </w:rPr>
            </w:pPr>
            <w:r w:rsidRPr="00986722">
              <w:rPr>
                <w:rFonts w:eastAsia="Times New Roman"/>
                <w:color w:val="000000"/>
              </w:rPr>
              <w:t>2.0 ( 2.8 ± 1.6)</w:t>
            </w:r>
          </w:p>
        </w:tc>
        <w:tc>
          <w:tcPr>
            <w:tcW w:w="2140" w:type="dxa"/>
            <w:noWrap/>
            <w:hideMark/>
          </w:tcPr>
          <w:p w14:paraId="36939D7B" w14:textId="77777777" w:rsidR="000C6FB1" w:rsidRPr="00986722" w:rsidRDefault="000C6FB1" w:rsidP="00B9712C">
            <w:pPr>
              <w:jc w:val="center"/>
              <w:rPr>
                <w:rFonts w:eastAsia="Times New Roman"/>
                <w:color w:val="000000"/>
              </w:rPr>
            </w:pPr>
            <w:r w:rsidRPr="00986722">
              <w:rPr>
                <w:rFonts w:eastAsia="Times New Roman"/>
                <w:color w:val="000000"/>
              </w:rPr>
              <w:t>3.0 ( 2.8 ± 1.6)</w:t>
            </w:r>
          </w:p>
        </w:tc>
        <w:tc>
          <w:tcPr>
            <w:tcW w:w="960" w:type="dxa"/>
            <w:noWrap/>
            <w:hideMark/>
          </w:tcPr>
          <w:p w14:paraId="580D495B" w14:textId="77777777" w:rsidR="000C6FB1" w:rsidRPr="00986722" w:rsidRDefault="000C6FB1" w:rsidP="00B9712C">
            <w:pPr>
              <w:jc w:val="right"/>
              <w:rPr>
                <w:rFonts w:eastAsia="Times New Roman"/>
                <w:color w:val="000000"/>
              </w:rPr>
            </w:pPr>
            <w:r w:rsidRPr="00986722">
              <w:rPr>
                <w:rFonts w:eastAsia="Times New Roman"/>
                <w:color w:val="000000"/>
              </w:rPr>
              <w:t>0.6971</w:t>
            </w:r>
          </w:p>
        </w:tc>
      </w:tr>
      <w:tr w:rsidR="000C6FB1" w:rsidRPr="00986722" w14:paraId="728396C7" w14:textId="77777777" w:rsidTr="004536F0">
        <w:trPr>
          <w:trHeight w:val="300"/>
        </w:trPr>
        <w:tc>
          <w:tcPr>
            <w:tcW w:w="5090" w:type="dxa"/>
            <w:noWrap/>
            <w:hideMark/>
          </w:tcPr>
          <w:p w14:paraId="4A786701"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COPS2</w:t>
            </w:r>
            <w:r w:rsidRPr="00986722">
              <w:rPr>
                <w:rFonts w:eastAsia="Times New Roman"/>
                <w:b/>
                <w:bCs/>
                <w:color w:val="000000"/>
                <w:sz w:val="20"/>
                <w:szCs w:val="20"/>
                <w:vertAlign w:val="superscript"/>
              </w:rPr>
              <w:t>6</w:t>
            </w:r>
            <w:r w:rsidRPr="00986722">
              <w:rPr>
                <w:rFonts w:eastAsia="Times New Roman"/>
                <w:b/>
                <w:bCs/>
                <w:color w:val="000000"/>
                <w:sz w:val="20"/>
                <w:szCs w:val="20"/>
              </w:rPr>
              <w:t xml:space="preserve"> median(mean ± SD)</w:t>
            </w:r>
          </w:p>
        </w:tc>
        <w:tc>
          <w:tcPr>
            <w:tcW w:w="2230" w:type="dxa"/>
            <w:noWrap/>
            <w:hideMark/>
          </w:tcPr>
          <w:p w14:paraId="08145D1F" w14:textId="77777777" w:rsidR="000C6FB1" w:rsidRPr="00986722" w:rsidRDefault="000C6FB1" w:rsidP="00B9712C">
            <w:pPr>
              <w:jc w:val="center"/>
              <w:rPr>
                <w:rFonts w:eastAsia="Times New Roman"/>
                <w:color w:val="000000"/>
              </w:rPr>
            </w:pPr>
            <w:r w:rsidRPr="00986722">
              <w:rPr>
                <w:rFonts w:eastAsia="Times New Roman"/>
                <w:color w:val="000000"/>
              </w:rPr>
              <w:t>21.0 ( 35.6 ± 34.6)</w:t>
            </w:r>
          </w:p>
        </w:tc>
        <w:tc>
          <w:tcPr>
            <w:tcW w:w="2140" w:type="dxa"/>
            <w:noWrap/>
            <w:hideMark/>
          </w:tcPr>
          <w:p w14:paraId="104513E1" w14:textId="77777777" w:rsidR="000C6FB1" w:rsidRPr="00986722" w:rsidRDefault="000C6FB1" w:rsidP="00B9712C">
            <w:pPr>
              <w:jc w:val="center"/>
              <w:rPr>
                <w:rFonts w:eastAsia="Times New Roman"/>
                <w:color w:val="000000"/>
              </w:rPr>
            </w:pPr>
            <w:r w:rsidRPr="00986722">
              <w:rPr>
                <w:rFonts w:eastAsia="Times New Roman"/>
                <w:color w:val="000000"/>
              </w:rPr>
              <w:t>21.0 ( 35.8 ± 34.4)</w:t>
            </w:r>
          </w:p>
        </w:tc>
        <w:tc>
          <w:tcPr>
            <w:tcW w:w="2140" w:type="dxa"/>
            <w:noWrap/>
            <w:hideMark/>
          </w:tcPr>
          <w:p w14:paraId="45185942" w14:textId="77777777" w:rsidR="000C6FB1" w:rsidRPr="00986722" w:rsidRDefault="000C6FB1" w:rsidP="00B9712C">
            <w:pPr>
              <w:jc w:val="center"/>
              <w:rPr>
                <w:rFonts w:eastAsia="Times New Roman"/>
                <w:color w:val="000000"/>
              </w:rPr>
            </w:pPr>
            <w:r w:rsidRPr="00986722">
              <w:rPr>
                <w:rFonts w:eastAsia="Times New Roman"/>
                <w:color w:val="000000"/>
              </w:rPr>
              <w:t>18.0 ( 35.4 ± 34.9)</w:t>
            </w:r>
          </w:p>
        </w:tc>
        <w:tc>
          <w:tcPr>
            <w:tcW w:w="960" w:type="dxa"/>
            <w:noWrap/>
            <w:hideMark/>
          </w:tcPr>
          <w:p w14:paraId="52250D7F" w14:textId="77777777" w:rsidR="000C6FB1" w:rsidRPr="00986722" w:rsidRDefault="000C6FB1" w:rsidP="00B9712C">
            <w:pPr>
              <w:jc w:val="right"/>
              <w:rPr>
                <w:rFonts w:eastAsia="Times New Roman"/>
                <w:color w:val="000000"/>
              </w:rPr>
            </w:pPr>
            <w:r w:rsidRPr="00986722">
              <w:rPr>
                <w:rFonts w:eastAsia="Times New Roman"/>
                <w:color w:val="000000"/>
              </w:rPr>
              <w:t>0.6766</w:t>
            </w:r>
          </w:p>
        </w:tc>
      </w:tr>
      <w:tr w:rsidR="000C6FB1" w:rsidRPr="00986722" w14:paraId="17F04203" w14:textId="77777777" w:rsidTr="004536F0">
        <w:trPr>
          <w:trHeight w:val="300"/>
        </w:trPr>
        <w:tc>
          <w:tcPr>
            <w:tcW w:w="5090" w:type="dxa"/>
            <w:noWrap/>
            <w:hideMark/>
          </w:tcPr>
          <w:p w14:paraId="3D3C41BC"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LAPS2</w:t>
            </w:r>
            <w:r w:rsidRPr="00986722">
              <w:rPr>
                <w:rFonts w:eastAsia="Times New Roman"/>
                <w:b/>
                <w:bCs/>
                <w:color w:val="000000"/>
                <w:sz w:val="20"/>
                <w:szCs w:val="20"/>
                <w:vertAlign w:val="superscript"/>
              </w:rPr>
              <w:t>7</w:t>
            </w:r>
            <w:r w:rsidRPr="00986722">
              <w:rPr>
                <w:rFonts w:eastAsia="Times New Roman"/>
                <w:b/>
                <w:bCs/>
                <w:color w:val="000000"/>
                <w:sz w:val="20"/>
                <w:szCs w:val="20"/>
              </w:rPr>
              <w:t xml:space="preserve"> (median, mean ± SD)</w:t>
            </w:r>
          </w:p>
        </w:tc>
        <w:tc>
          <w:tcPr>
            <w:tcW w:w="2230" w:type="dxa"/>
            <w:noWrap/>
            <w:hideMark/>
          </w:tcPr>
          <w:p w14:paraId="4BB2A349" w14:textId="77777777" w:rsidR="000C6FB1" w:rsidRPr="00986722" w:rsidRDefault="000C6FB1" w:rsidP="00B9712C">
            <w:pPr>
              <w:jc w:val="center"/>
              <w:rPr>
                <w:rFonts w:eastAsia="Times New Roman"/>
                <w:color w:val="000000"/>
              </w:rPr>
            </w:pPr>
            <w:r w:rsidRPr="00986722">
              <w:rPr>
                <w:rFonts w:eastAsia="Times New Roman"/>
                <w:color w:val="000000"/>
              </w:rPr>
              <w:t>26.0 ( 40.3 ± 47.1)</w:t>
            </w:r>
          </w:p>
        </w:tc>
        <w:tc>
          <w:tcPr>
            <w:tcW w:w="2140" w:type="dxa"/>
            <w:noWrap/>
            <w:hideMark/>
          </w:tcPr>
          <w:p w14:paraId="1F2F0721" w14:textId="77777777" w:rsidR="000C6FB1" w:rsidRPr="00986722" w:rsidRDefault="000C6FB1" w:rsidP="00B9712C">
            <w:pPr>
              <w:jc w:val="center"/>
              <w:rPr>
                <w:rFonts w:eastAsia="Times New Roman"/>
                <w:color w:val="000000"/>
              </w:rPr>
            </w:pPr>
            <w:r w:rsidRPr="00986722">
              <w:rPr>
                <w:rFonts w:eastAsia="Times New Roman"/>
                <w:color w:val="000000"/>
              </w:rPr>
              <w:t>28.0 ( 39.9 ± 46.1)</w:t>
            </w:r>
          </w:p>
        </w:tc>
        <w:tc>
          <w:tcPr>
            <w:tcW w:w="2140" w:type="dxa"/>
            <w:noWrap/>
            <w:hideMark/>
          </w:tcPr>
          <w:p w14:paraId="6A314E22" w14:textId="77777777" w:rsidR="000C6FB1" w:rsidRPr="00986722" w:rsidRDefault="000C6FB1" w:rsidP="00B9712C">
            <w:pPr>
              <w:jc w:val="center"/>
              <w:rPr>
                <w:rFonts w:eastAsia="Times New Roman"/>
                <w:color w:val="000000"/>
              </w:rPr>
            </w:pPr>
            <w:r w:rsidRPr="00986722">
              <w:rPr>
                <w:rFonts w:eastAsia="Times New Roman"/>
                <w:color w:val="000000"/>
              </w:rPr>
              <w:t>24.0 ( 40.7 ± 48.1)</w:t>
            </w:r>
          </w:p>
        </w:tc>
        <w:tc>
          <w:tcPr>
            <w:tcW w:w="960" w:type="dxa"/>
            <w:noWrap/>
            <w:hideMark/>
          </w:tcPr>
          <w:p w14:paraId="008F63B2" w14:textId="77777777" w:rsidR="000C6FB1" w:rsidRPr="00986722" w:rsidRDefault="000C6FB1" w:rsidP="00B9712C">
            <w:pPr>
              <w:jc w:val="right"/>
              <w:rPr>
                <w:rFonts w:eastAsia="Times New Roman"/>
                <w:color w:val="000000"/>
              </w:rPr>
            </w:pPr>
            <w:r w:rsidRPr="00986722">
              <w:rPr>
                <w:rFonts w:eastAsia="Times New Roman"/>
                <w:color w:val="000000"/>
              </w:rPr>
              <w:t>0.5752</w:t>
            </w:r>
          </w:p>
        </w:tc>
      </w:tr>
      <w:tr w:rsidR="000C6FB1" w:rsidRPr="00986722" w14:paraId="61BC1A3E" w14:textId="77777777" w:rsidTr="004536F0">
        <w:trPr>
          <w:trHeight w:val="300"/>
        </w:trPr>
        <w:tc>
          <w:tcPr>
            <w:tcW w:w="5090" w:type="dxa"/>
            <w:noWrap/>
            <w:hideMark/>
          </w:tcPr>
          <w:p w14:paraId="77213638"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Length of stay in ED (hours) (median, mean ± SD)</w:t>
            </w:r>
          </w:p>
        </w:tc>
        <w:tc>
          <w:tcPr>
            <w:tcW w:w="2230" w:type="dxa"/>
            <w:noWrap/>
            <w:hideMark/>
          </w:tcPr>
          <w:p w14:paraId="5029F279" w14:textId="77777777" w:rsidR="000C6FB1" w:rsidRPr="00986722" w:rsidRDefault="000C6FB1" w:rsidP="00B9712C">
            <w:pPr>
              <w:jc w:val="center"/>
              <w:rPr>
                <w:rFonts w:eastAsia="Times New Roman"/>
                <w:color w:val="000000"/>
              </w:rPr>
            </w:pPr>
            <w:r w:rsidRPr="00986722">
              <w:rPr>
                <w:rFonts w:eastAsia="Times New Roman"/>
                <w:color w:val="000000"/>
              </w:rPr>
              <w:t>5.7 ( 5.7 ± 2.9)</w:t>
            </w:r>
          </w:p>
        </w:tc>
        <w:tc>
          <w:tcPr>
            <w:tcW w:w="2140" w:type="dxa"/>
            <w:noWrap/>
            <w:hideMark/>
          </w:tcPr>
          <w:p w14:paraId="7447F23B" w14:textId="77777777" w:rsidR="000C6FB1" w:rsidRPr="00986722" w:rsidRDefault="000C6FB1" w:rsidP="00B9712C">
            <w:pPr>
              <w:jc w:val="center"/>
              <w:rPr>
                <w:rFonts w:eastAsia="Times New Roman"/>
                <w:color w:val="000000"/>
              </w:rPr>
            </w:pPr>
            <w:r w:rsidRPr="00986722">
              <w:rPr>
                <w:rFonts w:eastAsia="Times New Roman"/>
                <w:color w:val="000000"/>
              </w:rPr>
              <w:t>5.7 ( 5.8 ± 2.7)</w:t>
            </w:r>
          </w:p>
        </w:tc>
        <w:tc>
          <w:tcPr>
            <w:tcW w:w="2140" w:type="dxa"/>
            <w:noWrap/>
            <w:hideMark/>
          </w:tcPr>
          <w:p w14:paraId="0724BF51" w14:textId="77777777" w:rsidR="000C6FB1" w:rsidRPr="00986722" w:rsidRDefault="000C6FB1" w:rsidP="00B9712C">
            <w:pPr>
              <w:jc w:val="center"/>
              <w:rPr>
                <w:rFonts w:eastAsia="Times New Roman"/>
                <w:color w:val="000000"/>
              </w:rPr>
            </w:pPr>
            <w:r w:rsidRPr="00986722">
              <w:rPr>
                <w:rFonts w:eastAsia="Times New Roman"/>
                <w:color w:val="000000"/>
              </w:rPr>
              <w:t>5.7 ( 5.7 ± 3.0)</w:t>
            </w:r>
          </w:p>
        </w:tc>
        <w:tc>
          <w:tcPr>
            <w:tcW w:w="960" w:type="dxa"/>
            <w:noWrap/>
            <w:hideMark/>
          </w:tcPr>
          <w:p w14:paraId="27CC3FE6" w14:textId="77777777" w:rsidR="000C6FB1" w:rsidRPr="00986722" w:rsidRDefault="000C6FB1" w:rsidP="00B9712C">
            <w:pPr>
              <w:jc w:val="right"/>
              <w:rPr>
                <w:rFonts w:eastAsia="Times New Roman"/>
                <w:color w:val="000000"/>
              </w:rPr>
            </w:pPr>
            <w:r w:rsidRPr="00986722">
              <w:rPr>
                <w:rFonts w:eastAsia="Times New Roman"/>
                <w:color w:val="000000"/>
              </w:rPr>
              <w:t>0.1602</w:t>
            </w:r>
          </w:p>
        </w:tc>
      </w:tr>
      <w:tr w:rsidR="000C6FB1" w:rsidRPr="00986722" w14:paraId="0AF54035" w14:textId="77777777" w:rsidTr="004536F0">
        <w:trPr>
          <w:trHeight w:val="300"/>
        </w:trPr>
        <w:tc>
          <w:tcPr>
            <w:tcW w:w="5090" w:type="dxa"/>
            <w:noWrap/>
            <w:hideMark/>
          </w:tcPr>
          <w:p w14:paraId="0847A580"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Patients receiving aspirin within 24 hours</w:t>
            </w:r>
            <w:r w:rsidRPr="00986722">
              <w:rPr>
                <w:rFonts w:eastAsia="Times New Roman"/>
                <w:b/>
                <w:bCs/>
                <w:color w:val="000000"/>
                <w:sz w:val="20"/>
                <w:szCs w:val="20"/>
                <w:vertAlign w:val="superscript"/>
              </w:rPr>
              <w:t>8</w:t>
            </w:r>
          </w:p>
        </w:tc>
        <w:tc>
          <w:tcPr>
            <w:tcW w:w="2230" w:type="dxa"/>
            <w:noWrap/>
            <w:hideMark/>
          </w:tcPr>
          <w:p w14:paraId="3FA4E555" w14:textId="77777777" w:rsidR="000C6FB1" w:rsidRPr="00986722" w:rsidRDefault="000C6FB1" w:rsidP="00B9712C">
            <w:pPr>
              <w:jc w:val="center"/>
              <w:rPr>
                <w:rFonts w:eastAsia="Times New Roman"/>
                <w:color w:val="000000"/>
              </w:rPr>
            </w:pPr>
            <w:r w:rsidRPr="00986722">
              <w:rPr>
                <w:rFonts w:eastAsia="Times New Roman"/>
                <w:color w:val="000000"/>
              </w:rPr>
              <w:t xml:space="preserve">3,846 </w:t>
            </w:r>
            <w:proofErr w:type="gramStart"/>
            <w:r w:rsidRPr="00986722">
              <w:rPr>
                <w:rFonts w:eastAsia="Times New Roman"/>
                <w:color w:val="000000"/>
              </w:rPr>
              <w:t>( 95.9</w:t>
            </w:r>
            <w:proofErr w:type="gramEnd"/>
            <w:r w:rsidRPr="00986722">
              <w:rPr>
                <w:rFonts w:eastAsia="Times New Roman"/>
                <w:color w:val="000000"/>
              </w:rPr>
              <w:t>%)</w:t>
            </w:r>
          </w:p>
        </w:tc>
        <w:tc>
          <w:tcPr>
            <w:tcW w:w="2140" w:type="dxa"/>
            <w:noWrap/>
            <w:hideMark/>
          </w:tcPr>
          <w:p w14:paraId="33FED2CF" w14:textId="77777777" w:rsidR="000C6FB1" w:rsidRPr="00986722" w:rsidRDefault="000C6FB1" w:rsidP="00B9712C">
            <w:pPr>
              <w:jc w:val="center"/>
              <w:rPr>
                <w:rFonts w:eastAsia="Times New Roman"/>
                <w:color w:val="000000"/>
              </w:rPr>
            </w:pPr>
            <w:r w:rsidRPr="00986722">
              <w:rPr>
                <w:rFonts w:eastAsia="Times New Roman"/>
                <w:color w:val="000000"/>
              </w:rPr>
              <w:t xml:space="preserve">1,967 </w:t>
            </w:r>
            <w:proofErr w:type="gramStart"/>
            <w:r w:rsidRPr="00986722">
              <w:rPr>
                <w:rFonts w:eastAsia="Times New Roman"/>
                <w:color w:val="000000"/>
              </w:rPr>
              <w:t>( 98.1</w:t>
            </w:r>
            <w:proofErr w:type="gramEnd"/>
            <w:r w:rsidRPr="00986722">
              <w:rPr>
                <w:rFonts w:eastAsia="Times New Roman"/>
                <w:color w:val="000000"/>
              </w:rPr>
              <w:t>%)</w:t>
            </w:r>
          </w:p>
        </w:tc>
        <w:tc>
          <w:tcPr>
            <w:tcW w:w="2140" w:type="dxa"/>
            <w:noWrap/>
            <w:hideMark/>
          </w:tcPr>
          <w:p w14:paraId="51EA1C60" w14:textId="77777777" w:rsidR="000C6FB1" w:rsidRPr="00986722" w:rsidRDefault="000C6FB1" w:rsidP="00B9712C">
            <w:pPr>
              <w:jc w:val="center"/>
              <w:rPr>
                <w:rFonts w:eastAsia="Times New Roman"/>
                <w:color w:val="000000"/>
              </w:rPr>
            </w:pPr>
            <w:r w:rsidRPr="00986722">
              <w:rPr>
                <w:rFonts w:eastAsia="Times New Roman"/>
                <w:color w:val="000000"/>
              </w:rPr>
              <w:t xml:space="preserve">1,879 </w:t>
            </w:r>
            <w:proofErr w:type="gramStart"/>
            <w:r w:rsidRPr="00986722">
              <w:rPr>
                <w:rFonts w:eastAsia="Times New Roman"/>
                <w:color w:val="000000"/>
              </w:rPr>
              <w:t>( 93.7</w:t>
            </w:r>
            <w:proofErr w:type="gramEnd"/>
            <w:r w:rsidRPr="00986722">
              <w:rPr>
                <w:rFonts w:eastAsia="Times New Roman"/>
                <w:color w:val="000000"/>
              </w:rPr>
              <w:t>%)</w:t>
            </w:r>
          </w:p>
        </w:tc>
        <w:tc>
          <w:tcPr>
            <w:tcW w:w="960" w:type="dxa"/>
            <w:noWrap/>
            <w:hideMark/>
          </w:tcPr>
          <w:p w14:paraId="1D4F6C2A"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585BB9C5" w14:textId="77777777" w:rsidTr="004536F0">
        <w:trPr>
          <w:trHeight w:val="300"/>
        </w:trPr>
        <w:tc>
          <w:tcPr>
            <w:tcW w:w="5090" w:type="dxa"/>
            <w:noWrap/>
            <w:hideMark/>
          </w:tcPr>
          <w:p w14:paraId="7DACE686"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Patients receiving anticoagulation therapy</w:t>
            </w:r>
            <w:r w:rsidRPr="00986722">
              <w:rPr>
                <w:rFonts w:eastAsia="Times New Roman"/>
                <w:b/>
                <w:bCs/>
                <w:color w:val="000000"/>
                <w:sz w:val="20"/>
                <w:szCs w:val="20"/>
                <w:vertAlign w:val="superscript"/>
              </w:rPr>
              <w:t>8</w:t>
            </w:r>
          </w:p>
        </w:tc>
        <w:tc>
          <w:tcPr>
            <w:tcW w:w="2230" w:type="dxa"/>
            <w:noWrap/>
            <w:hideMark/>
          </w:tcPr>
          <w:p w14:paraId="6D14A880" w14:textId="77777777" w:rsidR="000C6FB1" w:rsidRPr="00986722" w:rsidRDefault="000C6FB1" w:rsidP="00B9712C">
            <w:pPr>
              <w:jc w:val="center"/>
              <w:rPr>
                <w:rFonts w:eastAsia="Times New Roman"/>
                <w:color w:val="000000"/>
              </w:rPr>
            </w:pPr>
            <w:r w:rsidRPr="00986722">
              <w:rPr>
                <w:rFonts w:eastAsia="Times New Roman"/>
                <w:color w:val="000000"/>
              </w:rPr>
              <w:t xml:space="preserve">3,120 </w:t>
            </w:r>
            <w:proofErr w:type="gramStart"/>
            <w:r w:rsidRPr="00986722">
              <w:rPr>
                <w:rFonts w:eastAsia="Times New Roman"/>
                <w:color w:val="000000"/>
              </w:rPr>
              <w:t>( 77.8</w:t>
            </w:r>
            <w:proofErr w:type="gramEnd"/>
            <w:r w:rsidRPr="00986722">
              <w:rPr>
                <w:rFonts w:eastAsia="Times New Roman"/>
                <w:color w:val="000000"/>
              </w:rPr>
              <w:t>%)</w:t>
            </w:r>
          </w:p>
        </w:tc>
        <w:tc>
          <w:tcPr>
            <w:tcW w:w="2140" w:type="dxa"/>
            <w:noWrap/>
            <w:hideMark/>
          </w:tcPr>
          <w:p w14:paraId="4C912013" w14:textId="77777777" w:rsidR="000C6FB1" w:rsidRPr="00986722" w:rsidRDefault="000C6FB1" w:rsidP="00B9712C">
            <w:pPr>
              <w:jc w:val="center"/>
              <w:rPr>
                <w:rFonts w:eastAsia="Times New Roman"/>
                <w:color w:val="000000"/>
              </w:rPr>
            </w:pPr>
            <w:r w:rsidRPr="00986722">
              <w:rPr>
                <w:rFonts w:eastAsia="Times New Roman"/>
                <w:color w:val="000000"/>
              </w:rPr>
              <w:t xml:space="preserve">1,569 </w:t>
            </w:r>
            <w:proofErr w:type="gramStart"/>
            <w:r w:rsidRPr="00986722">
              <w:rPr>
                <w:rFonts w:eastAsia="Times New Roman"/>
                <w:color w:val="000000"/>
              </w:rPr>
              <w:t>( 78.2</w:t>
            </w:r>
            <w:proofErr w:type="gramEnd"/>
            <w:r w:rsidRPr="00986722">
              <w:rPr>
                <w:rFonts w:eastAsia="Times New Roman"/>
                <w:color w:val="000000"/>
              </w:rPr>
              <w:t>%)</w:t>
            </w:r>
          </w:p>
        </w:tc>
        <w:tc>
          <w:tcPr>
            <w:tcW w:w="2140" w:type="dxa"/>
            <w:noWrap/>
            <w:hideMark/>
          </w:tcPr>
          <w:p w14:paraId="76885031" w14:textId="77777777" w:rsidR="000C6FB1" w:rsidRPr="00986722" w:rsidRDefault="000C6FB1" w:rsidP="00B9712C">
            <w:pPr>
              <w:jc w:val="center"/>
              <w:rPr>
                <w:rFonts w:eastAsia="Times New Roman"/>
                <w:color w:val="000000"/>
              </w:rPr>
            </w:pPr>
            <w:r w:rsidRPr="00986722">
              <w:rPr>
                <w:rFonts w:eastAsia="Times New Roman"/>
                <w:color w:val="000000"/>
              </w:rPr>
              <w:t xml:space="preserve">1,551 </w:t>
            </w:r>
            <w:proofErr w:type="gramStart"/>
            <w:r w:rsidRPr="00986722">
              <w:rPr>
                <w:rFonts w:eastAsia="Times New Roman"/>
                <w:color w:val="000000"/>
              </w:rPr>
              <w:t>( 77.3</w:t>
            </w:r>
            <w:proofErr w:type="gramEnd"/>
            <w:r w:rsidRPr="00986722">
              <w:rPr>
                <w:rFonts w:eastAsia="Times New Roman"/>
                <w:color w:val="000000"/>
              </w:rPr>
              <w:t>%)</w:t>
            </w:r>
          </w:p>
        </w:tc>
        <w:tc>
          <w:tcPr>
            <w:tcW w:w="960" w:type="dxa"/>
            <w:noWrap/>
            <w:hideMark/>
          </w:tcPr>
          <w:p w14:paraId="66795917" w14:textId="77777777" w:rsidR="000C6FB1" w:rsidRPr="00986722" w:rsidRDefault="000C6FB1" w:rsidP="00B9712C">
            <w:pPr>
              <w:jc w:val="right"/>
              <w:rPr>
                <w:rFonts w:eastAsia="Times New Roman"/>
                <w:color w:val="000000"/>
              </w:rPr>
            </w:pPr>
            <w:r w:rsidRPr="00986722">
              <w:rPr>
                <w:rFonts w:eastAsia="Times New Roman"/>
                <w:color w:val="000000"/>
              </w:rPr>
              <w:t>0.4943</w:t>
            </w:r>
          </w:p>
        </w:tc>
      </w:tr>
      <w:tr w:rsidR="000C6FB1" w:rsidRPr="00986722" w14:paraId="094E98CB" w14:textId="77777777" w:rsidTr="004536F0">
        <w:trPr>
          <w:trHeight w:val="300"/>
        </w:trPr>
        <w:tc>
          <w:tcPr>
            <w:tcW w:w="5090" w:type="dxa"/>
            <w:noWrap/>
            <w:hideMark/>
          </w:tcPr>
          <w:p w14:paraId="51F2A26B"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Patients receiving beta blockers</w:t>
            </w:r>
            <w:r w:rsidRPr="00986722">
              <w:rPr>
                <w:rFonts w:eastAsia="Times New Roman"/>
                <w:b/>
                <w:bCs/>
                <w:color w:val="000000"/>
                <w:sz w:val="20"/>
                <w:szCs w:val="20"/>
                <w:vertAlign w:val="superscript"/>
              </w:rPr>
              <w:t>8</w:t>
            </w:r>
          </w:p>
        </w:tc>
        <w:tc>
          <w:tcPr>
            <w:tcW w:w="2230" w:type="dxa"/>
            <w:noWrap/>
            <w:hideMark/>
          </w:tcPr>
          <w:p w14:paraId="644DB344" w14:textId="77777777" w:rsidR="000C6FB1" w:rsidRPr="00986722" w:rsidRDefault="000C6FB1" w:rsidP="00B9712C">
            <w:pPr>
              <w:jc w:val="center"/>
              <w:rPr>
                <w:rFonts w:eastAsia="Times New Roman"/>
                <w:color w:val="000000"/>
              </w:rPr>
            </w:pPr>
            <w:r w:rsidRPr="00986722">
              <w:rPr>
                <w:rFonts w:eastAsia="Times New Roman"/>
                <w:color w:val="000000"/>
              </w:rPr>
              <w:t xml:space="preserve">3,426 </w:t>
            </w:r>
            <w:proofErr w:type="gramStart"/>
            <w:r w:rsidRPr="00986722">
              <w:rPr>
                <w:rFonts w:eastAsia="Times New Roman"/>
                <w:color w:val="000000"/>
              </w:rPr>
              <w:t>( 85.4</w:t>
            </w:r>
            <w:proofErr w:type="gramEnd"/>
            <w:r w:rsidRPr="00986722">
              <w:rPr>
                <w:rFonts w:eastAsia="Times New Roman"/>
                <w:color w:val="000000"/>
              </w:rPr>
              <w:t>%)</w:t>
            </w:r>
          </w:p>
        </w:tc>
        <w:tc>
          <w:tcPr>
            <w:tcW w:w="2140" w:type="dxa"/>
            <w:noWrap/>
            <w:hideMark/>
          </w:tcPr>
          <w:p w14:paraId="13E33416" w14:textId="77777777" w:rsidR="000C6FB1" w:rsidRPr="00986722" w:rsidRDefault="000C6FB1" w:rsidP="00B9712C">
            <w:pPr>
              <w:jc w:val="center"/>
              <w:rPr>
                <w:rFonts w:eastAsia="Times New Roman"/>
                <w:color w:val="000000"/>
              </w:rPr>
            </w:pPr>
            <w:r w:rsidRPr="00986722">
              <w:rPr>
                <w:rFonts w:eastAsia="Times New Roman"/>
                <w:color w:val="000000"/>
              </w:rPr>
              <w:t xml:space="preserve">1,787 </w:t>
            </w:r>
            <w:proofErr w:type="gramStart"/>
            <w:r w:rsidRPr="00986722">
              <w:rPr>
                <w:rFonts w:eastAsia="Times New Roman"/>
                <w:color w:val="000000"/>
              </w:rPr>
              <w:t>( 89.1</w:t>
            </w:r>
            <w:proofErr w:type="gramEnd"/>
            <w:r w:rsidRPr="00986722">
              <w:rPr>
                <w:rFonts w:eastAsia="Times New Roman"/>
                <w:color w:val="000000"/>
              </w:rPr>
              <w:t>%)</w:t>
            </w:r>
          </w:p>
        </w:tc>
        <w:tc>
          <w:tcPr>
            <w:tcW w:w="2140" w:type="dxa"/>
            <w:noWrap/>
            <w:hideMark/>
          </w:tcPr>
          <w:p w14:paraId="0E51F78D" w14:textId="77777777" w:rsidR="000C6FB1" w:rsidRPr="00986722" w:rsidRDefault="000C6FB1" w:rsidP="00B9712C">
            <w:pPr>
              <w:jc w:val="center"/>
              <w:rPr>
                <w:rFonts w:eastAsia="Times New Roman"/>
                <w:color w:val="000000"/>
              </w:rPr>
            </w:pPr>
            <w:r w:rsidRPr="00986722">
              <w:rPr>
                <w:rFonts w:eastAsia="Times New Roman"/>
                <w:color w:val="000000"/>
              </w:rPr>
              <w:t xml:space="preserve">1,639 </w:t>
            </w:r>
            <w:proofErr w:type="gramStart"/>
            <w:r w:rsidRPr="00986722">
              <w:rPr>
                <w:rFonts w:eastAsia="Times New Roman"/>
                <w:color w:val="000000"/>
              </w:rPr>
              <w:t>( 81.7</w:t>
            </w:r>
            <w:proofErr w:type="gramEnd"/>
            <w:r w:rsidRPr="00986722">
              <w:rPr>
                <w:rFonts w:eastAsia="Times New Roman"/>
                <w:color w:val="000000"/>
              </w:rPr>
              <w:t>%)</w:t>
            </w:r>
          </w:p>
        </w:tc>
        <w:tc>
          <w:tcPr>
            <w:tcW w:w="960" w:type="dxa"/>
            <w:noWrap/>
            <w:hideMark/>
          </w:tcPr>
          <w:p w14:paraId="7992A19A"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6DD6E79D" w14:textId="77777777" w:rsidTr="004536F0">
        <w:trPr>
          <w:trHeight w:val="300"/>
        </w:trPr>
        <w:tc>
          <w:tcPr>
            <w:tcW w:w="5090" w:type="dxa"/>
            <w:noWrap/>
            <w:hideMark/>
          </w:tcPr>
          <w:p w14:paraId="2748635D"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Patients receiving ACE inhibitors or ARBs</w:t>
            </w:r>
            <w:r w:rsidRPr="00986722">
              <w:rPr>
                <w:rFonts w:eastAsia="Times New Roman"/>
                <w:b/>
                <w:bCs/>
                <w:color w:val="000000"/>
                <w:sz w:val="20"/>
                <w:szCs w:val="20"/>
                <w:vertAlign w:val="superscript"/>
              </w:rPr>
              <w:t>8</w:t>
            </w:r>
          </w:p>
        </w:tc>
        <w:tc>
          <w:tcPr>
            <w:tcW w:w="2230" w:type="dxa"/>
            <w:noWrap/>
            <w:hideMark/>
          </w:tcPr>
          <w:p w14:paraId="1F18A26E" w14:textId="77777777" w:rsidR="000C6FB1" w:rsidRPr="00986722" w:rsidRDefault="000C6FB1" w:rsidP="00B9712C">
            <w:pPr>
              <w:jc w:val="center"/>
              <w:rPr>
                <w:rFonts w:eastAsia="Times New Roman"/>
                <w:color w:val="000000"/>
              </w:rPr>
            </w:pPr>
            <w:r w:rsidRPr="00986722">
              <w:rPr>
                <w:rFonts w:eastAsia="Times New Roman"/>
                <w:color w:val="000000"/>
              </w:rPr>
              <w:t xml:space="preserve">2,386 </w:t>
            </w:r>
            <w:proofErr w:type="gramStart"/>
            <w:r w:rsidRPr="00986722">
              <w:rPr>
                <w:rFonts w:eastAsia="Times New Roman"/>
                <w:color w:val="000000"/>
              </w:rPr>
              <w:t>( 59.5</w:t>
            </w:r>
            <w:proofErr w:type="gramEnd"/>
            <w:r w:rsidRPr="00986722">
              <w:rPr>
                <w:rFonts w:eastAsia="Times New Roman"/>
                <w:color w:val="000000"/>
              </w:rPr>
              <w:t>%)</w:t>
            </w:r>
          </w:p>
        </w:tc>
        <w:tc>
          <w:tcPr>
            <w:tcW w:w="2140" w:type="dxa"/>
            <w:noWrap/>
            <w:hideMark/>
          </w:tcPr>
          <w:p w14:paraId="0F1C1FEB" w14:textId="77777777" w:rsidR="000C6FB1" w:rsidRPr="00986722" w:rsidRDefault="000C6FB1" w:rsidP="00B9712C">
            <w:pPr>
              <w:jc w:val="center"/>
              <w:rPr>
                <w:rFonts w:eastAsia="Times New Roman"/>
                <w:color w:val="000000"/>
              </w:rPr>
            </w:pPr>
            <w:r w:rsidRPr="00986722">
              <w:rPr>
                <w:rFonts w:eastAsia="Times New Roman"/>
                <w:color w:val="000000"/>
              </w:rPr>
              <w:t xml:space="preserve">1,322 </w:t>
            </w:r>
            <w:proofErr w:type="gramStart"/>
            <w:r w:rsidRPr="00986722">
              <w:rPr>
                <w:rFonts w:eastAsia="Times New Roman"/>
                <w:color w:val="000000"/>
              </w:rPr>
              <w:t>( 65.9</w:t>
            </w:r>
            <w:proofErr w:type="gramEnd"/>
            <w:r w:rsidRPr="00986722">
              <w:rPr>
                <w:rFonts w:eastAsia="Times New Roman"/>
                <w:color w:val="000000"/>
              </w:rPr>
              <w:t>%)</w:t>
            </w:r>
          </w:p>
        </w:tc>
        <w:tc>
          <w:tcPr>
            <w:tcW w:w="2140" w:type="dxa"/>
            <w:noWrap/>
            <w:hideMark/>
          </w:tcPr>
          <w:p w14:paraId="45013890" w14:textId="77777777" w:rsidR="000C6FB1" w:rsidRPr="00986722" w:rsidRDefault="000C6FB1" w:rsidP="00B9712C">
            <w:pPr>
              <w:jc w:val="center"/>
              <w:rPr>
                <w:rFonts w:eastAsia="Times New Roman"/>
                <w:color w:val="000000"/>
              </w:rPr>
            </w:pPr>
            <w:r w:rsidRPr="00986722">
              <w:rPr>
                <w:rFonts w:eastAsia="Times New Roman"/>
                <w:color w:val="000000"/>
              </w:rPr>
              <w:t xml:space="preserve">1,064 </w:t>
            </w:r>
            <w:proofErr w:type="gramStart"/>
            <w:r w:rsidRPr="00986722">
              <w:rPr>
                <w:rFonts w:eastAsia="Times New Roman"/>
                <w:color w:val="000000"/>
              </w:rPr>
              <w:t>( 53.0</w:t>
            </w:r>
            <w:proofErr w:type="gramEnd"/>
            <w:r w:rsidRPr="00986722">
              <w:rPr>
                <w:rFonts w:eastAsia="Times New Roman"/>
                <w:color w:val="000000"/>
              </w:rPr>
              <w:t>%)</w:t>
            </w:r>
          </w:p>
        </w:tc>
        <w:tc>
          <w:tcPr>
            <w:tcW w:w="960" w:type="dxa"/>
            <w:noWrap/>
            <w:hideMark/>
          </w:tcPr>
          <w:p w14:paraId="5AE3BD02"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2C6DE65B" w14:textId="77777777" w:rsidTr="004536F0">
        <w:trPr>
          <w:trHeight w:val="300"/>
        </w:trPr>
        <w:tc>
          <w:tcPr>
            <w:tcW w:w="5090" w:type="dxa"/>
            <w:noWrap/>
            <w:hideMark/>
          </w:tcPr>
          <w:p w14:paraId="688075D5"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Patients receiving statins</w:t>
            </w:r>
            <w:r w:rsidRPr="00986722">
              <w:rPr>
                <w:rFonts w:eastAsia="Times New Roman"/>
                <w:b/>
                <w:bCs/>
                <w:color w:val="000000"/>
                <w:sz w:val="20"/>
                <w:szCs w:val="20"/>
                <w:vertAlign w:val="superscript"/>
              </w:rPr>
              <w:t>8</w:t>
            </w:r>
          </w:p>
        </w:tc>
        <w:tc>
          <w:tcPr>
            <w:tcW w:w="2230" w:type="dxa"/>
            <w:noWrap/>
            <w:hideMark/>
          </w:tcPr>
          <w:p w14:paraId="233559B4" w14:textId="77777777" w:rsidR="000C6FB1" w:rsidRPr="00986722" w:rsidRDefault="000C6FB1" w:rsidP="00B9712C">
            <w:pPr>
              <w:jc w:val="center"/>
              <w:rPr>
                <w:rFonts w:eastAsia="Times New Roman"/>
                <w:color w:val="000000"/>
              </w:rPr>
            </w:pPr>
            <w:r w:rsidRPr="00986722">
              <w:rPr>
                <w:rFonts w:eastAsia="Times New Roman"/>
                <w:color w:val="000000"/>
              </w:rPr>
              <w:t xml:space="preserve">3,592 </w:t>
            </w:r>
            <w:proofErr w:type="gramStart"/>
            <w:r w:rsidRPr="00986722">
              <w:rPr>
                <w:rFonts w:eastAsia="Times New Roman"/>
                <w:color w:val="000000"/>
              </w:rPr>
              <w:t>( 89.5</w:t>
            </w:r>
            <w:proofErr w:type="gramEnd"/>
            <w:r w:rsidRPr="00986722">
              <w:rPr>
                <w:rFonts w:eastAsia="Times New Roman"/>
                <w:color w:val="000000"/>
              </w:rPr>
              <w:t>%)</w:t>
            </w:r>
          </w:p>
        </w:tc>
        <w:tc>
          <w:tcPr>
            <w:tcW w:w="2140" w:type="dxa"/>
            <w:noWrap/>
            <w:hideMark/>
          </w:tcPr>
          <w:p w14:paraId="50BF0264" w14:textId="77777777" w:rsidR="000C6FB1" w:rsidRPr="00986722" w:rsidRDefault="000C6FB1" w:rsidP="00B9712C">
            <w:pPr>
              <w:jc w:val="center"/>
              <w:rPr>
                <w:rFonts w:eastAsia="Times New Roman"/>
                <w:color w:val="000000"/>
              </w:rPr>
            </w:pPr>
            <w:r w:rsidRPr="00986722">
              <w:rPr>
                <w:rFonts w:eastAsia="Times New Roman"/>
                <w:color w:val="000000"/>
              </w:rPr>
              <w:t xml:space="preserve">1,880 </w:t>
            </w:r>
            <w:proofErr w:type="gramStart"/>
            <w:r w:rsidRPr="00986722">
              <w:rPr>
                <w:rFonts w:eastAsia="Times New Roman"/>
                <w:color w:val="000000"/>
              </w:rPr>
              <w:t>( 93.7</w:t>
            </w:r>
            <w:proofErr w:type="gramEnd"/>
            <w:r w:rsidRPr="00986722">
              <w:rPr>
                <w:rFonts w:eastAsia="Times New Roman"/>
                <w:color w:val="000000"/>
              </w:rPr>
              <w:t>%)</w:t>
            </w:r>
          </w:p>
        </w:tc>
        <w:tc>
          <w:tcPr>
            <w:tcW w:w="2140" w:type="dxa"/>
            <w:noWrap/>
            <w:hideMark/>
          </w:tcPr>
          <w:p w14:paraId="4ACB926A" w14:textId="77777777" w:rsidR="000C6FB1" w:rsidRPr="00986722" w:rsidRDefault="000C6FB1" w:rsidP="00B9712C">
            <w:pPr>
              <w:jc w:val="center"/>
              <w:rPr>
                <w:rFonts w:eastAsia="Times New Roman"/>
                <w:color w:val="000000"/>
              </w:rPr>
            </w:pPr>
            <w:r w:rsidRPr="00986722">
              <w:rPr>
                <w:rFonts w:eastAsia="Times New Roman"/>
                <w:color w:val="000000"/>
              </w:rPr>
              <w:t xml:space="preserve">1,712 </w:t>
            </w:r>
            <w:proofErr w:type="gramStart"/>
            <w:r w:rsidRPr="00986722">
              <w:rPr>
                <w:rFonts w:eastAsia="Times New Roman"/>
                <w:color w:val="000000"/>
              </w:rPr>
              <w:t>( 85.3</w:t>
            </w:r>
            <w:proofErr w:type="gramEnd"/>
            <w:r w:rsidRPr="00986722">
              <w:rPr>
                <w:rFonts w:eastAsia="Times New Roman"/>
                <w:color w:val="000000"/>
              </w:rPr>
              <w:t>%)</w:t>
            </w:r>
          </w:p>
        </w:tc>
        <w:tc>
          <w:tcPr>
            <w:tcW w:w="960" w:type="dxa"/>
            <w:noWrap/>
            <w:hideMark/>
          </w:tcPr>
          <w:p w14:paraId="7EBCCF69"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32AB9478" w14:textId="77777777" w:rsidTr="004536F0">
        <w:trPr>
          <w:trHeight w:val="300"/>
        </w:trPr>
        <w:tc>
          <w:tcPr>
            <w:tcW w:w="5090" w:type="dxa"/>
            <w:noWrap/>
            <w:hideMark/>
          </w:tcPr>
          <w:p w14:paraId="0F2B0A9A"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 received 1 or more therapies</w:t>
            </w:r>
          </w:p>
        </w:tc>
        <w:tc>
          <w:tcPr>
            <w:tcW w:w="2230" w:type="dxa"/>
            <w:noWrap/>
            <w:hideMark/>
          </w:tcPr>
          <w:p w14:paraId="01426BBF" w14:textId="77777777" w:rsidR="000C6FB1" w:rsidRPr="00986722" w:rsidRDefault="000C6FB1" w:rsidP="00B9712C">
            <w:pPr>
              <w:jc w:val="center"/>
              <w:rPr>
                <w:rFonts w:eastAsia="Times New Roman"/>
                <w:color w:val="000000"/>
              </w:rPr>
            </w:pPr>
            <w:r w:rsidRPr="00986722">
              <w:rPr>
                <w:rFonts w:eastAsia="Times New Roman"/>
                <w:color w:val="000000"/>
              </w:rPr>
              <w:t>3,996 (99.6%)</w:t>
            </w:r>
          </w:p>
        </w:tc>
        <w:tc>
          <w:tcPr>
            <w:tcW w:w="2140" w:type="dxa"/>
            <w:noWrap/>
            <w:hideMark/>
          </w:tcPr>
          <w:p w14:paraId="6C2C41E5" w14:textId="77777777" w:rsidR="000C6FB1" w:rsidRPr="00986722" w:rsidRDefault="000C6FB1" w:rsidP="00B9712C">
            <w:pPr>
              <w:jc w:val="center"/>
              <w:rPr>
                <w:rFonts w:eastAsia="Times New Roman"/>
                <w:color w:val="000000"/>
              </w:rPr>
            </w:pPr>
            <w:r w:rsidRPr="00986722">
              <w:rPr>
                <w:rFonts w:eastAsia="Times New Roman"/>
                <w:color w:val="000000"/>
              </w:rPr>
              <w:t>2,006 (100.0%)</w:t>
            </w:r>
          </w:p>
        </w:tc>
        <w:tc>
          <w:tcPr>
            <w:tcW w:w="2140" w:type="dxa"/>
            <w:noWrap/>
            <w:hideMark/>
          </w:tcPr>
          <w:p w14:paraId="78E8E147" w14:textId="77777777" w:rsidR="000C6FB1" w:rsidRPr="00986722" w:rsidRDefault="000C6FB1" w:rsidP="00B9712C">
            <w:pPr>
              <w:jc w:val="center"/>
              <w:rPr>
                <w:rFonts w:eastAsia="Times New Roman"/>
                <w:color w:val="000000"/>
              </w:rPr>
            </w:pPr>
            <w:r w:rsidRPr="00986722">
              <w:rPr>
                <w:rFonts w:eastAsia="Times New Roman"/>
                <w:color w:val="000000"/>
              </w:rPr>
              <w:t>1,990 (99.2%)</w:t>
            </w:r>
          </w:p>
        </w:tc>
        <w:tc>
          <w:tcPr>
            <w:tcW w:w="960" w:type="dxa"/>
            <w:noWrap/>
            <w:hideMark/>
          </w:tcPr>
          <w:p w14:paraId="19176C89"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1C18E9D7" w14:textId="77777777" w:rsidTr="004536F0">
        <w:trPr>
          <w:trHeight w:val="300"/>
        </w:trPr>
        <w:tc>
          <w:tcPr>
            <w:tcW w:w="5090" w:type="dxa"/>
            <w:noWrap/>
            <w:hideMark/>
          </w:tcPr>
          <w:p w14:paraId="7B6B8B1E"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 received 2 or more therapies</w:t>
            </w:r>
          </w:p>
        </w:tc>
        <w:tc>
          <w:tcPr>
            <w:tcW w:w="2230" w:type="dxa"/>
            <w:noWrap/>
            <w:hideMark/>
          </w:tcPr>
          <w:p w14:paraId="67C501B2" w14:textId="77777777" w:rsidR="000C6FB1" w:rsidRPr="00986722" w:rsidRDefault="000C6FB1" w:rsidP="00B9712C">
            <w:pPr>
              <w:jc w:val="center"/>
              <w:rPr>
                <w:rFonts w:eastAsia="Times New Roman"/>
                <w:color w:val="000000"/>
              </w:rPr>
            </w:pPr>
            <w:r w:rsidRPr="00986722">
              <w:rPr>
                <w:rFonts w:eastAsia="Times New Roman"/>
                <w:color w:val="000000"/>
              </w:rPr>
              <w:t>3,931 (98.0%)</w:t>
            </w:r>
          </w:p>
        </w:tc>
        <w:tc>
          <w:tcPr>
            <w:tcW w:w="2140" w:type="dxa"/>
            <w:noWrap/>
            <w:hideMark/>
          </w:tcPr>
          <w:p w14:paraId="0BDEF6FD" w14:textId="77777777" w:rsidR="000C6FB1" w:rsidRPr="00986722" w:rsidRDefault="000C6FB1" w:rsidP="00B9712C">
            <w:pPr>
              <w:jc w:val="center"/>
              <w:rPr>
                <w:rFonts w:eastAsia="Times New Roman"/>
                <w:color w:val="000000"/>
              </w:rPr>
            </w:pPr>
            <w:r w:rsidRPr="00986722">
              <w:rPr>
                <w:rFonts w:eastAsia="Times New Roman"/>
                <w:color w:val="000000"/>
              </w:rPr>
              <w:t>1,997 (99.6%)</w:t>
            </w:r>
          </w:p>
        </w:tc>
        <w:tc>
          <w:tcPr>
            <w:tcW w:w="2140" w:type="dxa"/>
            <w:noWrap/>
            <w:hideMark/>
          </w:tcPr>
          <w:p w14:paraId="03B5FBEA" w14:textId="77777777" w:rsidR="000C6FB1" w:rsidRPr="00986722" w:rsidRDefault="000C6FB1" w:rsidP="00B9712C">
            <w:pPr>
              <w:jc w:val="center"/>
              <w:rPr>
                <w:rFonts w:eastAsia="Times New Roman"/>
                <w:color w:val="000000"/>
              </w:rPr>
            </w:pPr>
            <w:r w:rsidRPr="00986722">
              <w:rPr>
                <w:rFonts w:eastAsia="Times New Roman"/>
                <w:color w:val="000000"/>
              </w:rPr>
              <w:t>1,934 (96.4%)</w:t>
            </w:r>
          </w:p>
        </w:tc>
        <w:tc>
          <w:tcPr>
            <w:tcW w:w="960" w:type="dxa"/>
            <w:noWrap/>
            <w:hideMark/>
          </w:tcPr>
          <w:p w14:paraId="778DF5BA"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1B028A94" w14:textId="77777777" w:rsidTr="004536F0">
        <w:trPr>
          <w:trHeight w:val="300"/>
        </w:trPr>
        <w:tc>
          <w:tcPr>
            <w:tcW w:w="5090" w:type="dxa"/>
            <w:noWrap/>
            <w:hideMark/>
          </w:tcPr>
          <w:p w14:paraId="02CFADF5"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 received 3 or more therapies</w:t>
            </w:r>
          </w:p>
        </w:tc>
        <w:tc>
          <w:tcPr>
            <w:tcW w:w="2230" w:type="dxa"/>
            <w:noWrap/>
            <w:hideMark/>
          </w:tcPr>
          <w:p w14:paraId="7451431A" w14:textId="77777777" w:rsidR="000C6FB1" w:rsidRPr="00986722" w:rsidRDefault="000C6FB1" w:rsidP="00B9712C">
            <w:pPr>
              <w:jc w:val="center"/>
              <w:rPr>
                <w:rFonts w:eastAsia="Times New Roman"/>
                <w:color w:val="000000"/>
              </w:rPr>
            </w:pPr>
            <w:r w:rsidRPr="00986722">
              <w:rPr>
                <w:rFonts w:eastAsia="Times New Roman"/>
                <w:color w:val="000000"/>
              </w:rPr>
              <w:t>3,730 (93.0%)</w:t>
            </w:r>
          </w:p>
        </w:tc>
        <w:tc>
          <w:tcPr>
            <w:tcW w:w="2140" w:type="dxa"/>
            <w:noWrap/>
            <w:hideMark/>
          </w:tcPr>
          <w:p w14:paraId="6C883801" w14:textId="77777777" w:rsidR="000C6FB1" w:rsidRPr="00986722" w:rsidRDefault="000C6FB1" w:rsidP="00B9712C">
            <w:pPr>
              <w:jc w:val="center"/>
              <w:rPr>
                <w:rFonts w:eastAsia="Times New Roman"/>
                <w:color w:val="000000"/>
              </w:rPr>
            </w:pPr>
            <w:r w:rsidRPr="00986722">
              <w:rPr>
                <w:rFonts w:eastAsia="Times New Roman"/>
                <w:color w:val="000000"/>
              </w:rPr>
              <w:t>1,940 (96.7%)</w:t>
            </w:r>
          </w:p>
        </w:tc>
        <w:tc>
          <w:tcPr>
            <w:tcW w:w="2140" w:type="dxa"/>
            <w:noWrap/>
            <w:hideMark/>
          </w:tcPr>
          <w:p w14:paraId="40D95CFF" w14:textId="77777777" w:rsidR="000C6FB1" w:rsidRPr="00986722" w:rsidRDefault="000C6FB1" w:rsidP="00B9712C">
            <w:pPr>
              <w:jc w:val="center"/>
              <w:rPr>
                <w:rFonts w:eastAsia="Times New Roman"/>
                <w:color w:val="000000"/>
              </w:rPr>
            </w:pPr>
            <w:r w:rsidRPr="00986722">
              <w:rPr>
                <w:rFonts w:eastAsia="Times New Roman"/>
                <w:color w:val="000000"/>
              </w:rPr>
              <w:t>1790 (89.2%)</w:t>
            </w:r>
          </w:p>
        </w:tc>
        <w:tc>
          <w:tcPr>
            <w:tcW w:w="960" w:type="dxa"/>
            <w:noWrap/>
            <w:hideMark/>
          </w:tcPr>
          <w:p w14:paraId="6DD18C5C"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71843D1C" w14:textId="77777777" w:rsidTr="004536F0">
        <w:trPr>
          <w:trHeight w:val="300"/>
        </w:trPr>
        <w:tc>
          <w:tcPr>
            <w:tcW w:w="5090" w:type="dxa"/>
            <w:noWrap/>
            <w:hideMark/>
          </w:tcPr>
          <w:p w14:paraId="4B8B0B7C"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 received 4 or more therapies</w:t>
            </w:r>
          </w:p>
        </w:tc>
        <w:tc>
          <w:tcPr>
            <w:tcW w:w="2230" w:type="dxa"/>
            <w:noWrap/>
            <w:hideMark/>
          </w:tcPr>
          <w:p w14:paraId="304464F9" w14:textId="77777777" w:rsidR="000C6FB1" w:rsidRPr="00986722" w:rsidRDefault="000C6FB1" w:rsidP="00B9712C">
            <w:pPr>
              <w:jc w:val="center"/>
              <w:rPr>
                <w:rFonts w:eastAsia="Times New Roman"/>
                <w:color w:val="000000"/>
              </w:rPr>
            </w:pPr>
            <w:r w:rsidRPr="00986722">
              <w:rPr>
                <w:rFonts w:eastAsia="Times New Roman"/>
                <w:color w:val="000000"/>
              </w:rPr>
              <w:t>3,065 (76.4%)</w:t>
            </w:r>
          </w:p>
        </w:tc>
        <w:tc>
          <w:tcPr>
            <w:tcW w:w="2140" w:type="dxa"/>
            <w:noWrap/>
            <w:hideMark/>
          </w:tcPr>
          <w:p w14:paraId="4AE25E87" w14:textId="77777777" w:rsidR="000C6FB1" w:rsidRPr="00986722" w:rsidRDefault="000C6FB1" w:rsidP="00B9712C">
            <w:pPr>
              <w:jc w:val="center"/>
              <w:rPr>
                <w:rFonts w:eastAsia="Times New Roman"/>
                <w:color w:val="000000"/>
              </w:rPr>
            </w:pPr>
            <w:r w:rsidRPr="00986722">
              <w:rPr>
                <w:rFonts w:eastAsia="Times New Roman"/>
                <w:color w:val="000000"/>
              </w:rPr>
              <w:t>1,654 (82.5%)</w:t>
            </w:r>
          </w:p>
        </w:tc>
        <w:tc>
          <w:tcPr>
            <w:tcW w:w="2140" w:type="dxa"/>
            <w:noWrap/>
            <w:hideMark/>
          </w:tcPr>
          <w:p w14:paraId="6951321D" w14:textId="77777777" w:rsidR="000C6FB1" w:rsidRPr="00986722" w:rsidRDefault="000C6FB1" w:rsidP="00B9712C">
            <w:pPr>
              <w:jc w:val="center"/>
              <w:rPr>
                <w:rFonts w:eastAsia="Times New Roman"/>
                <w:color w:val="000000"/>
              </w:rPr>
            </w:pPr>
            <w:r w:rsidRPr="00986722">
              <w:rPr>
                <w:rFonts w:eastAsia="Times New Roman"/>
                <w:color w:val="000000"/>
              </w:rPr>
              <w:t>1,411 (70.3%)</w:t>
            </w:r>
          </w:p>
        </w:tc>
        <w:tc>
          <w:tcPr>
            <w:tcW w:w="960" w:type="dxa"/>
            <w:noWrap/>
            <w:hideMark/>
          </w:tcPr>
          <w:p w14:paraId="6AFC70E7"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71D99DC8" w14:textId="77777777" w:rsidTr="004536F0">
        <w:trPr>
          <w:trHeight w:val="300"/>
        </w:trPr>
        <w:tc>
          <w:tcPr>
            <w:tcW w:w="5090" w:type="dxa"/>
            <w:noWrap/>
            <w:hideMark/>
          </w:tcPr>
          <w:p w14:paraId="79294A4A"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Patient received all 5 therapies</w:t>
            </w:r>
          </w:p>
        </w:tc>
        <w:tc>
          <w:tcPr>
            <w:tcW w:w="2230" w:type="dxa"/>
            <w:noWrap/>
            <w:hideMark/>
          </w:tcPr>
          <w:p w14:paraId="4013E11C" w14:textId="77777777" w:rsidR="000C6FB1" w:rsidRPr="00986722" w:rsidRDefault="000C6FB1" w:rsidP="00B9712C">
            <w:pPr>
              <w:jc w:val="center"/>
              <w:rPr>
                <w:rFonts w:eastAsia="Times New Roman"/>
                <w:color w:val="000000"/>
              </w:rPr>
            </w:pPr>
            <w:r w:rsidRPr="00986722">
              <w:rPr>
                <w:rFonts w:eastAsia="Times New Roman"/>
                <w:color w:val="000000"/>
              </w:rPr>
              <w:t>1,648 (41.1%)</w:t>
            </w:r>
          </w:p>
        </w:tc>
        <w:tc>
          <w:tcPr>
            <w:tcW w:w="2140" w:type="dxa"/>
            <w:noWrap/>
            <w:hideMark/>
          </w:tcPr>
          <w:p w14:paraId="55AFBC1F" w14:textId="77777777" w:rsidR="000C6FB1" w:rsidRPr="00986722" w:rsidRDefault="000C6FB1" w:rsidP="00B9712C">
            <w:pPr>
              <w:jc w:val="center"/>
              <w:rPr>
                <w:rFonts w:eastAsia="Times New Roman"/>
                <w:color w:val="000000"/>
              </w:rPr>
            </w:pPr>
            <w:r w:rsidRPr="00986722">
              <w:rPr>
                <w:rFonts w:eastAsia="Times New Roman"/>
                <w:color w:val="000000"/>
              </w:rPr>
              <w:t>928 (46.3%)</w:t>
            </w:r>
          </w:p>
        </w:tc>
        <w:tc>
          <w:tcPr>
            <w:tcW w:w="2140" w:type="dxa"/>
            <w:noWrap/>
            <w:hideMark/>
          </w:tcPr>
          <w:p w14:paraId="51D0E001" w14:textId="77777777" w:rsidR="000C6FB1" w:rsidRPr="00986722" w:rsidRDefault="000C6FB1" w:rsidP="00B9712C">
            <w:pPr>
              <w:jc w:val="center"/>
              <w:rPr>
                <w:rFonts w:eastAsia="Times New Roman"/>
                <w:color w:val="000000"/>
              </w:rPr>
            </w:pPr>
            <w:r w:rsidRPr="00986722">
              <w:rPr>
                <w:rFonts w:eastAsia="Times New Roman"/>
                <w:color w:val="000000"/>
              </w:rPr>
              <w:t>720 (35.9%)</w:t>
            </w:r>
          </w:p>
        </w:tc>
        <w:tc>
          <w:tcPr>
            <w:tcW w:w="960" w:type="dxa"/>
            <w:noWrap/>
            <w:hideMark/>
          </w:tcPr>
          <w:p w14:paraId="552E7209" w14:textId="77777777" w:rsidR="000C6FB1" w:rsidRPr="00986722" w:rsidRDefault="000C6FB1" w:rsidP="00B9712C">
            <w:pPr>
              <w:jc w:val="right"/>
              <w:rPr>
                <w:rFonts w:eastAsia="Times New Roman"/>
                <w:color w:val="000000"/>
              </w:rPr>
            </w:pPr>
            <w:r w:rsidRPr="00986722">
              <w:rPr>
                <w:rFonts w:eastAsia="Times New Roman"/>
                <w:color w:val="000000"/>
              </w:rPr>
              <w:t>&lt;0.0001</w:t>
            </w:r>
          </w:p>
        </w:tc>
      </w:tr>
      <w:tr w:rsidR="000C6FB1" w:rsidRPr="00986722" w14:paraId="63A4989C" w14:textId="77777777" w:rsidTr="004536F0">
        <w:trPr>
          <w:trHeight w:val="300"/>
        </w:trPr>
        <w:tc>
          <w:tcPr>
            <w:tcW w:w="5090" w:type="dxa"/>
            <w:noWrap/>
            <w:hideMark/>
          </w:tcPr>
          <w:p w14:paraId="4486EBAE"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Predicted mortality risk(%)</w:t>
            </w:r>
            <w:r w:rsidRPr="00986722">
              <w:rPr>
                <w:rFonts w:eastAsia="Times New Roman"/>
                <w:b/>
                <w:bCs/>
                <w:color w:val="000000"/>
                <w:sz w:val="20"/>
                <w:szCs w:val="20"/>
                <w:vertAlign w:val="superscript"/>
              </w:rPr>
              <w:t>9</w:t>
            </w:r>
            <w:r w:rsidRPr="00986722">
              <w:rPr>
                <w:rFonts w:eastAsia="Times New Roman"/>
                <w:b/>
                <w:bCs/>
                <w:color w:val="000000"/>
                <w:sz w:val="20"/>
                <w:szCs w:val="20"/>
              </w:rPr>
              <w:t>(</w:t>
            </w:r>
            <w:proofErr w:type="spellStart"/>
            <w:r w:rsidRPr="00986722">
              <w:rPr>
                <w:rFonts w:eastAsia="Times New Roman"/>
                <w:b/>
                <w:bCs/>
                <w:color w:val="000000"/>
                <w:sz w:val="20"/>
                <w:szCs w:val="20"/>
              </w:rPr>
              <w:t>median,mean</w:t>
            </w:r>
            <w:proofErr w:type="spellEnd"/>
            <w:r w:rsidRPr="00986722">
              <w:rPr>
                <w:rFonts w:eastAsia="Times New Roman"/>
                <w:b/>
                <w:bCs/>
                <w:color w:val="000000"/>
                <w:sz w:val="20"/>
                <w:szCs w:val="20"/>
              </w:rPr>
              <w:t xml:space="preserve"> ±SD)</w:t>
            </w:r>
          </w:p>
        </w:tc>
        <w:tc>
          <w:tcPr>
            <w:tcW w:w="2230" w:type="dxa"/>
            <w:noWrap/>
            <w:hideMark/>
          </w:tcPr>
          <w:p w14:paraId="070C4CF4" w14:textId="77777777" w:rsidR="000C6FB1" w:rsidRPr="00986722" w:rsidRDefault="000C6FB1" w:rsidP="00B9712C">
            <w:pPr>
              <w:jc w:val="center"/>
              <w:rPr>
                <w:rFonts w:eastAsia="Times New Roman"/>
                <w:color w:val="000000"/>
              </w:rPr>
            </w:pPr>
            <w:r w:rsidRPr="00986722">
              <w:rPr>
                <w:rFonts w:eastAsia="Times New Roman"/>
                <w:color w:val="000000"/>
              </w:rPr>
              <w:t>1.1 ( 4.3 ± 9.6)</w:t>
            </w:r>
          </w:p>
        </w:tc>
        <w:tc>
          <w:tcPr>
            <w:tcW w:w="2140" w:type="dxa"/>
            <w:noWrap/>
            <w:hideMark/>
          </w:tcPr>
          <w:p w14:paraId="7DF0DED7" w14:textId="77777777" w:rsidR="000C6FB1" w:rsidRPr="00986722" w:rsidRDefault="000C6FB1" w:rsidP="00B9712C">
            <w:pPr>
              <w:jc w:val="center"/>
              <w:rPr>
                <w:rFonts w:eastAsia="Times New Roman"/>
                <w:color w:val="000000"/>
              </w:rPr>
            </w:pPr>
            <w:r w:rsidRPr="00986722">
              <w:rPr>
                <w:rFonts w:eastAsia="Times New Roman"/>
                <w:color w:val="000000"/>
              </w:rPr>
              <w:t>1.1 ( 3.7 ± 8.1)</w:t>
            </w:r>
          </w:p>
        </w:tc>
        <w:tc>
          <w:tcPr>
            <w:tcW w:w="2140" w:type="dxa"/>
            <w:noWrap/>
            <w:hideMark/>
          </w:tcPr>
          <w:p w14:paraId="1CA1D2C5" w14:textId="77777777" w:rsidR="000C6FB1" w:rsidRPr="00986722" w:rsidRDefault="000C6FB1" w:rsidP="00B9712C">
            <w:pPr>
              <w:jc w:val="center"/>
              <w:rPr>
                <w:rFonts w:eastAsia="Times New Roman"/>
                <w:color w:val="000000"/>
              </w:rPr>
            </w:pPr>
            <w:r w:rsidRPr="00986722">
              <w:rPr>
                <w:rFonts w:eastAsia="Times New Roman"/>
                <w:color w:val="000000"/>
              </w:rPr>
              <w:t>1.2 ( 4.8 ± 10.8)</w:t>
            </w:r>
          </w:p>
        </w:tc>
        <w:tc>
          <w:tcPr>
            <w:tcW w:w="960" w:type="dxa"/>
            <w:noWrap/>
            <w:hideMark/>
          </w:tcPr>
          <w:p w14:paraId="071FA25E" w14:textId="77777777" w:rsidR="000C6FB1" w:rsidRPr="00986722" w:rsidRDefault="000C6FB1" w:rsidP="00B9712C">
            <w:pPr>
              <w:jc w:val="right"/>
              <w:rPr>
                <w:rFonts w:eastAsia="Times New Roman"/>
                <w:color w:val="000000"/>
              </w:rPr>
            </w:pPr>
            <w:r w:rsidRPr="00986722">
              <w:rPr>
                <w:rFonts w:eastAsia="Times New Roman"/>
                <w:color w:val="000000"/>
              </w:rPr>
              <w:t>0.0001</w:t>
            </w:r>
          </w:p>
        </w:tc>
      </w:tr>
      <w:tr w:rsidR="000C6FB1" w:rsidRPr="00986722" w14:paraId="02C67862" w14:textId="77777777" w:rsidTr="004536F0">
        <w:trPr>
          <w:trHeight w:val="300"/>
        </w:trPr>
        <w:tc>
          <w:tcPr>
            <w:tcW w:w="5090" w:type="dxa"/>
            <w:noWrap/>
            <w:hideMark/>
          </w:tcPr>
          <w:p w14:paraId="3C7F75CF"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Full code at time of hospital entry</w:t>
            </w:r>
            <w:r w:rsidRPr="00986722">
              <w:rPr>
                <w:rFonts w:eastAsia="Times New Roman"/>
                <w:b/>
                <w:bCs/>
                <w:color w:val="000000"/>
                <w:sz w:val="20"/>
                <w:szCs w:val="20"/>
                <w:vertAlign w:val="superscript"/>
              </w:rPr>
              <w:t>10</w:t>
            </w:r>
            <w:r w:rsidRPr="00986722">
              <w:rPr>
                <w:rFonts w:eastAsia="Times New Roman"/>
                <w:b/>
                <w:bCs/>
                <w:color w:val="000000"/>
                <w:sz w:val="20"/>
                <w:szCs w:val="20"/>
              </w:rPr>
              <w:t xml:space="preserve"> (%)</w:t>
            </w:r>
          </w:p>
        </w:tc>
        <w:tc>
          <w:tcPr>
            <w:tcW w:w="2230" w:type="dxa"/>
            <w:noWrap/>
            <w:hideMark/>
          </w:tcPr>
          <w:p w14:paraId="00D75793" w14:textId="77777777" w:rsidR="000C6FB1" w:rsidRPr="00986722" w:rsidRDefault="000C6FB1" w:rsidP="00B9712C">
            <w:pPr>
              <w:jc w:val="center"/>
              <w:rPr>
                <w:rFonts w:eastAsia="Times New Roman"/>
                <w:color w:val="000000"/>
              </w:rPr>
            </w:pPr>
            <w:r w:rsidRPr="00986722">
              <w:rPr>
                <w:rFonts w:eastAsia="Times New Roman"/>
                <w:color w:val="000000"/>
              </w:rPr>
              <w:t xml:space="preserve">3,488 </w:t>
            </w:r>
            <w:proofErr w:type="gramStart"/>
            <w:r w:rsidRPr="00986722">
              <w:rPr>
                <w:rFonts w:eastAsia="Times New Roman"/>
                <w:color w:val="000000"/>
              </w:rPr>
              <w:t>( 86.9</w:t>
            </w:r>
            <w:proofErr w:type="gramEnd"/>
            <w:r w:rsidRPr="00986722">
              <w:rPr>
                <w:rFonts w:eastAsia="Times New Roman"/>
                <w:color w:val="000000"/>
              </w:rPr>
              <w:t>%)</w:t>
            </w:r>
          </w:p>
        </w:tc>
        <w:tc>
          <w:tcPr>
            <w:tcW w:w="2140" w:type="dxa"/>
            <w:noWrap/>
            <w:hideMark/>
          </w:tcPr>
          <w:p w14:paraId="60475FEB" w14:textId="77777777" w:rsidR="000C6FB1" w:rsidRPr="00986722" w:rsidRDefault="000C6FB1" w:rsidP="00B9712C">
            <w:pPr>
              <w:jc w:val="center"/>
              <w:rPr>
                <w:rFonts w:eastAsia="Times New Roman"/>
                <w:color w:val="000000"/>
              </w:rPr>
            </w:pPr>
            <w:r w:rsidRPr="00986722">
              <w:rPr>
                <w:rFonts w:eastAsia="Times New Roman"/>
                <w:color w:val="000000"/>
              </w:rPr>
              <w:t xml:space="preserve">1,746 </w:t>
            </w:r>
            <w:proofErr w:type="gramStart"/>
            <w:r w:rsidRPr="00986722">
              <w:rPr>
                <w:rFonts w:eastAsia="Times New Roman"/>
                <w:color w:val="000000"/>
              </w:rPr>
              <w:t>( 87.0</w:t>
            </w:r>
            <w:proofErr w:type="gramEnd"/>
            <w:r w:rsidRPr="00986722">
              <w:rPr>
                <w:rFonts w:eastAsia="Times New Roman"/>
                <w:color w:val="000000"/>
              </w:rPr>
              <w:t>%)</w:t>
            </w:r>
          </w:p>
        </w:tc>
        <w:tc>
          <w:tcPr>
            <w:tcW w:w="2140" w:type="dxa"/>
            <w:noWrap/>
            <w:hideMark/>
          </w:tcPr>
          <w:p w14:paraId="2D379915" w14:textId="77777777" w:rsidR="000C6FB1" w:rsidRPr="00986722" w:rsidRDefault="000C6FB1" w:rsidP="00B9712C">
            <w:pPr>
              <w:jc w:val="center"/>
              <w:rPr>
                <w:rFonts w:eastAsia="Times New Roman"/>
                <w:color w:val="000000"/>
              </w:rPr>
            </w:pPr>
            <w:r w:rsidRPr="00986722">
              <w:rPr>
                <w:rFonts w:eastAsia="Times New Roman"/>
                <w:color w:val="000000"/>
              </w:rPr>
              <w:t xml:space="preserve">1,742 </w:t>
            </w:r>
            <w:proofErr w:type="gramStart"/>
            <w:r w:rsidRPr="00986722">
              <w:rPr>
                <w:rFonts w:eastAsia="Times New Roman"/>
                <w:color w:val="000000"/>
              </w:rPr>
              <w:t>( 86.8</w:t>
            </w:r>
            <w:proofErr w:type="gramEnd"/>
            <w:r w:rsidRPr="00986722">
              <w:rPr>
                <w:rFonts w:eastAsia="Times New Roman"/>
                <w:color w:val="000000"/>
              </w:rPr>
              <w:t>%)</w:t>
            </w:r>
          </w:p>
        </w:tc>
        <w:tc>
          <w:tcPr>
            <w:tcW w:w="960" w:type="dxa"/>
            <w:noWrap/>
            <w:hideMark/>
          </w:tcPr>
          <w:p w14:paraId="48F89059" w14:textId="77777777" w:rsidR="000C6FB1" w:rsidRPr="00986722" w:rsidRDefault="000C6FB1" w:rsidP="00B9712C">
            <w:pPr>
              <w:jc w:val="right"/>
              <w:rPr>
                <w:rFonts w:eastAsia="Times New Roman"/>
                <w:color w:val="000000"/>
              </w:rPr>
            </w:pPr>
            <w:r w:rsidRPr="00986722">
              <w:rPr>
                <w:rFonts w:eastAsia="Times New Roman"/>
                <w:color w:val="000000"/>
              </w:rPr>
              <w:t>0.8513</w:t>
            </w:r>
          </w:p>
        </w:tc>
      </w:tr>
      <w:tr w:rsidR="000C6FB1" w:rsidRPr="00986722" w14:paraId="544B6ABA" w14:textId="77777777" w:rsidTr="004536F0">
        <w:trPr>
          <w:trHeight w:val="300"/>
        </w:trPr>
        <w:tc>
          <w:tcPr>
            <w:tcW w:w="5090" w:type="dxa"/>
            <w:noWrap/>
            <w:hideMark/>
          </w:tcPr>
          <w:p w14:paraId="1304F71C"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Admitted to ICU</w:t>
            </w:r>
            <w:r w:rsidRPr="00986722">
              <w:rPr>
                <w:rFonts w:eastAsia="Times New Roman"/>
                <w:b/>
                <w:bCs/>
                <w:color w:val="000000"/>
                <w:sz w:val="20"/>
                <w:szCs w:val="20"/>
                <w:vertAlign w:val="superscript"/>
              </w:rPr>
              <w:t>11</w:t>
            </w:r>
            <w:r w:rsidRPr="00986722">
              <w:rPr>
                <w:rFonts w:eastAsia="Times New Roman"/>
                <w:b/>
                <w:bCs/>
                <w:color w:val="000000"/>
                <w:sz w:val="20"/>
                <w:szCs w:val="20"/>
              </w:rPr>
              <w:t xml:space="preserve"> (%)</w:t>
            </w:r>
          </w:p>
        </w:tc>
        <w:tc>
          <w:tcPr>
            <w:tcW w:w="2230" w:type="dxa"/>
            <w:noWrap/>
            <w:hideMark/>
          </w:tcPr>
          <w:p w14:paraId="4088A6CB" w14:textId="77777777" w:rsidR="000C6FB1" w:rsidRPr="00986722" w:rsidRDefault="000C6FB1" w:rsidP="00B9712C">
            <w:pPr>
              <w:jc w:val="center"/>
              <w:rPr>
                <w:rFonts w:eastAsia="Times New Roman"/>
                <w:color w:val="000000"/>
              </w:rPr>
            </w:pPr>
          </w:p>
        </w:tc>
        <w:tc>
          <w:tcPr>
            <w:tcW w:w="2140" w:type="dxa"/>
            <w:noWrap/>
            <w:hideMark/>
          </w:tcPr>
          <w:p w14:paraId="55739E60" w14:textId="77777777" w:rsidR="000C6FB1" w:rsidRPr="00986722" w:rsidRDefault="000C6FB1" w:rsidP="00B9712C">
            <w:pPr>
              <w:jc w:val="center"/>
              <w:rPr>
                <w:rFonts w:eastAsia="Times New Roman"/>
                <w:color w:val="000000"/>
              </w:rPr>
            </w:pPr>
          </w:p>
        </w:tc>
        <w:tc>
          <w:tcPr>
            <w:tcW w:w="2140" w:type="dxa"/>
            <w:noWrap/>
            <w:hideMark/>
          </w:tcPr>
          <w:p w14:paraId="4F8FA08A" w14:textId="77777777" w:rsidR="000C6FB1" w:rsidRPr="00986722" w:rsidRDefault="000C6FB1" w:rsidP="00B9712C">
            <w:pPr>
              <w:jc w:val="center"/>
              <w:rPr>
                <w:rFonts w:eastAsia="Times New Roman"/>
                <w:color w:val="000000"/>
              </w:rPr>
            </w:pPr>
          </w:p>
        </w:tc>
        <w:tc>
          <w:tcPr>
            <w:tcW w:w="960" w:type="dxa"/>
            <w:noWrap/>
            <w:hideMark/>
          </w:tcPr>
          <w:p w14:paraId="540EBBE7" w14:textId="77777777" w:rsidR="000C6FB1" w:rsidRPr="00986722" w:rsidRDefault="000C6FB1" w:rsidP="00B9712C">
            <w:pPr>
              <w:jc w:val="right"/>
              <w:rPr>
                <w:rFonts w:eastAsia="Times New Roman"/>
                <w:color w:val="000000"/>
              </w:rPr>
            </w:pPr>
          </w:p>
        </w:tc>
      </w:tr>
      <w:tr w:rsidR="000C6FB1" w:rsidRPr="00986722" w14:paraId="0F09E345" w14:textId="77777777" w:rsidTr="004536F0">
        <w:trPr>
          <w:trHeight w:val="300"/>
        </w:trPr>
        <w:tc>
          <w:tcPr>
            <w:tcW w:w="5090" w:type="dxa"/>
            <w:noWrap/>
            <w:hideMark/>
          </w:tcPr>
          <w:p w14:paraId="6C4A4B4B"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 xml:space="preserve">            Direct admit (%)</w:t>
            </w:r>
          </w:p>
        </w:tc>
        <w:tc>
          <w:tcPr>
            <w:tcW w:w="2230" w:type="dxa"/>
            <w:noWrap/>
            <w:hideMark/>
          </w:tcPr>
          <w:p w14:paraId="79376165" w14:textId="77777777" w:rsidR="000C6FB1" w:rsidRPr="00986722" w:rsidRDefault="000C6FB1" w:rsidP="00B9712C">
            <w:pPr>
              <w:jc w:val="center"/>
              <w:rPr>
                <w:rFonts w:eastAsia="Times New Roman"/>
                <w:color w:val="000000"/>
              </w:rPr>
            </w:pPr>
            <w:r w:rsidRPr="00986722">
              <w:rPr>
                <w:rFonts w:eastAsia="Times New Roman"/>
                <w:color w:val="000000"/>
              </w:rPr>
              <w:t xml:space="preserve">1,003 </w:t>
            </w:r>
            <w:proofErr w:type="gramStart"/>
            <w:r w:rsidRPr="00986722">
              <w:rPr>
                <w:rFonts w:eastAsia="Times New Roman"/>
                <w:color w:val="000000"/>
              </w:rPr>
              <w:t>( 25.0</w:t>
            </w:r>
            <w:proofErr w:type="gramEnd"/>
            <w:r w:rsidRPr="00986722">
              <w:rPr>
                <w:rFonts w:eastAsia="Times New Roman"/>
                <w:color w:val="000000"/>
              </w:rPr>
              <w:t>%)</w:t>
            </w:r>
          </w:p>
        </w:tc>
        <w:tc>
          <w:tcPr>
            <w:tcW w:w="2140" w:type="dxa"/>
            <w:noWrap/>
            <w:hideMark/>
          </w:tcPr>
          <w:p w14:paraId="5CA06822" w14:textId="77777777" w:rsidR="000C6FB1" w:rsidRPr="00986722" w:rsidRDefault="000C6FB1" w:rsidP="00B9712C">
            <w:pPr>
              <w:jc w:val="center"/>
              <w:rPr>
                <w:rFonts w:eastAsia="Times New Roman"/>
                <w:color w:val="000000"/>
              </w:rPr>
            </w:pPr>
            <w:r w:rsidRPr="00986722">
              <w:rPr>
                <w:rFonts w:eastAsia="Times New Roman"/>
                <w:color w:val="000000"/>
              </w:rPr>
              <w:t xml:space="preserve">539 </w:t>
            </w:r>
            <w:proofErr w:type="gramStart"/>
            <w:r w:rsidRPr="00986722">
              <w:rPr>
                <w:rFonts w:eastAsia="Times New Roman"/>
                <w:color w:val="000000"/>
              </w:rPr>
              <w:t>( 26.9</w:t>
            </w:r>
            <w:proofErr w:type="gramEnd"/>
            <w:r w:rsidRPr="00986722">
              <w:rPr>
                <w:rFonts w:eastAsia="Times New Roman"/>
                <w:color w:val="000000"/>
              </w:rPr>
              <w:t>%)</w:t>
            </w:r>
          </w:p>
        </w:tc>
        <w:tc>
          <w:tcPr>
            <w:tcW w:w="2140" w:type="dxa"/>
            <w:noWrap/>
            <w:hideMark/>
          </w:tcPr>
          <w:p w14:paraId="10C7D7B7" w14:textId="77777777" w:rsidR="000C6FB1" w:rsidRPr="00986722" w:rsidRDefault="000C6FB1" w:rsidP="00B9712C">
            <w:pPr>
              <w:jc w:val="center"/>
              <w:rPr>
                <w:rFonts w:eastAsia="Times New Roman"/>
                <w:color w:val="000000"/>
              </w:rPr>
            </w:pPr>
            <w:r w:rsidRPr="00986722">
              <w:rPr>
                <w:rFonts w:eastAsia="Times New Roman"/>
                <w:color w:val="000000"/>
              </w:rPr>
              <w:t xml:space="preserve">464 </w:t>
            </w:r>
            <w:proofErr w:type="gramStart"/>
            <w:r w:rsidRPr="00986722">
              <w:rPr>
                <w:rFonts w:eastAsia="Times New Roman"/>
                <w:color w:val="000000"/>
              </w:rPr>
              <w:t>( 23.1</w:t>
            </w:r>
            <w:proofErr w:type="gramEnd"/>
            <w:r w:rsidRPr="00986722">
              <w:rPr>
                <w:rFonts w:eastAsia="Times New Roman"/>
                <w:color w:val="000000"/>
              </w:rPr>
              <w:t>%)</w:t>
            </w:r>
          </w:p>
        </w:tc>
        <w:tc>
          <w:tcPr>
            <w:tcW w:w="960" w:type="dxa"/>
            <w:noWrap/>
            <w:hideMark/>
          </w:tcPr>
          <w:p w14:paraId="5DAB4884" w14:textId="77777777" w:rsidR="000C6FB1" w:rsidRPr="00986722" w:rsidRDefault="000C6FB1" w:rsidP="00B9712C">
            <w:pPr>
              <w:jc w:val="right"/>
              <w:rPr>
                <w:rFonts w:eastAsia="Times New Roman"/>
                <w:color w:val="000000"/>
              </w:rPr>
            </w:pPr>
            <w:r w:rsidRPr="00986722">
              <w:rPr>
                <w:rFonts w:eastAsia="Times New Roman"/>
                <w:color w:val="000000"/>
              </w:rPr>
              <w:t>0.0062</w:t>
            </w:r>
          </w:p>
        </w:tc>
      </w:tr>
      <w:tr w:rsidR="000C6FB1" w:rsidRPr="00986722" w14:paraId="29C5C175" w14:textId="77777777" w:rsidTr="004536F0">
        <w:trPr>
          <w:trHeight w:val="300"/>
        </w:trPr>
        <w:tc>
          <w:tcPr>
            <w:tcW w:w="5090" w:type="dxa"/>
            <w:noWrap/>
            <w:hideMark/>
          </w:tcPr>
          <w:p w14:paraId="09609673"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 xml:space="preserve">            Unplanned Transfer (%)</w:t>
            </w:r>
          </w:p>
        </w:tc>
        <w:tc>
          <w:tcPr>
            <w:tcW w:w="2230" w:type="dxa"/>
            <w:noWrap/>
            <w:hideMark/>
          </w:tcPr>
          <w:p w14:paraId="59787F16" w14:textId="77777777" w:rsidR="000C6FB1" w:rsidRPr="00986722" w:rsidRDefault="000C6FB1" w:rsidP="00B9712C">
            <w:pPr>
              <w:jc w:val="center"/>
              <w:rPr>
                <w:rFonts w:eastAsia="Times New Roman"/>
                <w:color w:val="000000"/>
              </w:rPr>
            </w:pPr>
            <w:r w:rsidRPr="00986722">
              <w:rPr>
                <w:rFonts w:eastAsia="Times New Roman"/>
                <w:color w:val="000000"/>
              </w:rPr>
              <w:t xml:space="preserve">263 </w:t>
            </w:r>
            <w:proofErr w:type="gramStart"/>
            <w:r w:rsidRPr="00986722">
              <w:rPr>
                <w:rFonts w:eastAsia="Times New Roman"/>
                <w:color w:val="000000"/>
              </w:rPr>
              <w:t>( 6.6</w:t>
            </w:r>
            <w:proofErr w:type="gramEnd"/>
            <w:r w:rsidRPr="00986722">
              <w:rPr>
                <w:rFonts w:eastAsia="Times New Roman"/>
                <w:color w:val="000000"/>
              </w:rPr>
              <w:t>%)</w:t>
            </w:r>
          </w:p>
        </w:tc>
        <w:tc>
          <w:tcPr>
            <w:tcW w:w="2140" w:type="dxa"/>
            <w:noWrap/>
            <w:hideMark/>
          </w:tcPr>
          <w:p w14:paraId="7EB04981" w14:textId="77777777" w:rsidR="000C6FB1" w:rsidRPr="00986722" w:rsidRDefault="000C6FB1" w:rsidP="00B9712C">
            <w:pPr>
              <w:jc w:val="center"/>
              <w:rPr>
                <w:rFonts w:eastAsia="Times New Roman"/>
                <w:color w:val="000000"/>
              </w:rPr>
            </w:pPr>
            <w:r w:rsidRPr="00986722">
              <w:rPr>
                <w:rFonts w:eastAsia="Times New Roman"/>
                <w:color w:val="000000"/>
              </w:rPr>
              <w:t xml:space="preserve">141 </w:t>
            </w:r>
            <w:proofErr w:type="gramStart"/>
            <w:r w:rsidRPr="00986722">
              <w:rPr>
                <w:rFonts w:eastAsia="Times New Roman"/>
                <w:color w:val="000000"/>
              </w:rPr>
              <w:t>( 7.0</w:t>
            </w:r>
            <w:proofErr w:type="gramEnd"/>
            <w:r w:rsidRPr="00986722">
              <w:rPr>
                <w:rFonts w:eastAsia="Times New Roman"/>
                <w:color w:val="000000"/>
              </w:rPr>
              <w:t>%)</w:t>
            </w:r>
          </w:p>
        </w:tc>
        <w:tc>
          <w:tcPr>
            <w:tcW w:w="2140" w:type="dxa"/>
            <w:noWrap/>
            <w:hideMark/>
          </w:tcPr>
          <w:p w14:paraId="4C00C3E3" w14:textId="77777777" w:rsidR="000C6FB1" w:rsidRPr="00986722" w:rsidRDefault="000C6FB1" w:rsidP="00B9712C">
            <w:pPr>
              <w:jc w:val="center"/>
              <w:rPr>
                <w:rFonts w:eastAsia="Times New Roman"/>
                <w:color w:val="000000"/>
              </w:rPr>
            </w:pPr>
            <w:r w:rsidRPr="00986722">
              <w:rPr>
                <w:rFonts w:eastAsia="Times New Roman"/>
                <w:color w:val="000000"/>
              </w:rPr>
              <w:t xml:space="preserve">122 </w:t>
            </w:r>
            <w:proofErr w:type="gramStart"/>
            <w:r w:rsidRPr="00986722">
              <w:rPr>
                <w:rFonts w:eastAsia="Times New Roman"/>
                <w:color w:val="000000"/>
              </w:rPr>
              <w:t>( 6.08</w:t>
            </w:r>
            <w:proofErr w:type="gramEnd"/>
            <w:r w:rsidRPr="00986722">
              <w:rPr>
                <w:rFonts w:eastAsia="Times New Roman"/>
                <w:color w:val="000000"/>
              </w:rPr>
              <w:t>%)</w:t>
            </w:r>
          </w:p>
        </w:tc>
        <w:tc>
          <w:tcPr>
            <w:tcW w:w="960" w:type="dxa"/>
            <w:noWrap/>
            <w:hideMark/>
          </w:tcPr>
          <w:p w14:paraId="5467B634" w14:textId="77777777" w:rsidR="000C6FB1" w:rsidRPr="00986722" w:rsidRDefault="000C6FB1" w:rsidP="00B9712C">
            <w:pPr>
              <w:jc w:val="right"/>
              <w:rPr>
                <w:rFonts w:eastAsia="Times New Roman"/>
                <w:color w:val="000000"/>
              </w:rPr>
            </w:pPr>
            <w:r w:rsidRPr="00986722">
              <w:rPr>
                <w:rFonts w:eastAsia="Times New Roman"/>
                <w:color w:val="000000"/>
              </w:rPr>
              <w:t>0.2255</w:t>
            </w:r>
          </w:p>
        </w:tc>
      </w:tr>
      <w:tr w:rsidR="000C6FB1" w:rsidRPr="00986722" w14:paraId="712139E1" w14:textId="77777777" w:rsidTr="004536F0">
        <w:trPr>
          <w:trHeight w:val="300"/>
        </w:trPr>
        <w:tc>
          <w:tcPr>
            <w:tcW w:w="5090" w:type="dxa"/>
            <w:noWrap/>
            <w:hideMark/>
          </w:tcPr>
          <w:p w14:paraId="229B73CE"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 xml:space="preserve">            Ever (%)</w:t>
            </w:r>
          </w:p>
        </w:tc>
        <w:tc>
          <w:tcPr>
            <w:tcW w:w="2230" w:type="dxa"/>
            <w:noWrap/>
            <w:hideMark/>
          </w:tcPr>
          <w:p w14:paraId="40B6788F" w14:textId="77777777" w:rsidR="000C6FB1" w:rsidRPr="00986722" w:rsidRDefault="000C6FB1" w:rsidP="00B9712C">
            <w:pPr>
              <w:jc w:val="center"/>
              <w:rPr>
                <w:rFonts w:eastAsia="Times New Roman"/>
                <w:color w:val="000000"/>
              </w:rPr>
            </w:pPr>
            <w:r w:rsidRPr="00986722">
              <w:rPr>
                <w:rFonts w:eastAsia="Times New Roman"/>
                <w:color w:val="000000"/>
              </w:rPr>
              <w:t xml:space="preserve">1,710 </w:t>
            </w:r>
            <w:proofErr w:type="gramStart"/>
            <w:r w:rsidRPr="00986722">
              <w:rPr>
                <w:rFonts w:eastAsia="Times New Roman"/>
                <w:color w:val="000000"/>
              </w:rPr>
              <w:t>( 42.6</w:t>
            </w:r>
            <w:proofErr w:type="gramEnd"/>
            <w:r w:rsidRPr="00986722">
              <w:rPr>
                <w:rFonts w:eastAsia="Times New Roman"/>
                <w:color w:val="000000"/>
              </w:rPr>
              <w:t>%)</w:t>
            </w:r>
          </w:p>
        </w:tc>
        <w:tc>
          <w:tcPr>
            <w:tcW w:w="2140" w:type="dxa"/>
            <w:noWrap/>
            <w:hideMark/>
          </w:tcPr>
          <w:p w14:paraId="333BCDCE" w14:textId="77777777" w:rsidR="000C6FB1" w:rsidRPr="00986722" w:rsidRDefault="000C6FB1" w:rsidP="00B9712C">
            <w:pPr>
              <w:jc w:val="center"/>
              <w:rPr>
                <w:rFonts w:eastAsia="Times New Roman"/>
                <w:color w:val="000000"/>
              </w:rPr>
            </w:pPr>
            <w:r w:rsidRPr="00986722">
              <w:rPr>
                <w:rFonts w:eastAsia="Times New Roman"/>
                <w:color w:val="000000"/>
              </w:rPr>
              <w:t xml:space="preserve">822 </w:t>
            </w:r>
            <w:proofErr w:type="gramStart"/>
            <w:r w:rsidRPr="00986722">
              <w:rPr>
                <w:rFonts w:eastAsia="Times New Roman"/>
                <w:color w:val="000000"/>
              </w:rPr>
              <w:t>( 41.0</w:t>
            </w:r>
            <w:proofErr w:type="gramEnd"/>
            <w:r w:rsidRPr="00986722">
              <w:rPr>
                <w:rFonts w:eastAsia="Times New Roman"/>
                <w:color w:val="000000"/>
              </w:rPr>
              <w:t>%)</w:t>
            </w:r>
          </w:p>
        </w:tc>
        <w:tc>
          <w:tcPr>
            <w:tcW w:w="2140" w:type="dxa"/>
            <w:noWrap/>
            <w:hideMark/>
          </w:tcPr>
          <w:p w14:paraId="18533918" w14:textId="77777777" w:rsidR="000C6FB1" w:rsidRPr="00986722" w:rsidRDefault="000C6FB1" w:rsidP="00B9712C">
            <w:pPr>
              <w:jc w:val="center"/>
              <w:rPr>
                <w:rFonts w:eastAsia="Times New Roman"/>
                <w:color w:val="000000"/>
              </w:rPr>
            </w:pPr>
            <w:r w:rsidRPr="00986722">
              <w:rPr>
                <w:rFonts w:eastAsia="Times New Roman"/>
                <w:color w:val="000000"/>
              </w:rPr>
              <w:t xml:space="preserve">888 </w:t>
            </w:r>
            <w:proofErr w:type="gramStart"/>
            <w:r w:rsidRPr="00986722">
              <w:rPr>
                <w:rFonts w:eastAsia="Times New Roman"/>
                <w:color w:val="000000"/>
              </w:rPr>
              <w:t>( 44.3</w:t>
            </w:r>
            <w:proofErr w:type="gramEnd"/>
            <w:r w:rsidRPr="00986722">
              <w:rPr>
                <w:rFonts w:eastAsia="Times New Roman"/>
                <w:color w:val="000000"/>
              </w:rPr>
              <w:t>%)</w:t>
            </w:r>
          </w:p>
        </w:tc>
        <w:tc>
          <w:tcPr>
            <w:tcW w:w="960" w:type="dxa"/>
            <w:noWrap/>
            <w:hideMark/>
          </w:tcPr>
          <w:p w14:paraId="4BC21EB7" w14:textId="77777777" w:rsidR="000C6FB1" w:rsidRPr="00986722" w:rsidRDefault="000C6FB1" w:rsidP="00B9712C">
            <w:pPr>
              <w:jc w:val="right"/>
              <w:rPr>
                <w:rFonts w:eastAsia="Times New Roman"/>
                <w:color w:val="000000"/>
              </w:rPr>
            </w:pPr>
            <w:r w:rsidRPr="00986722">
              <w:rPr>
                <w:rFonts w:eastAsia="Times New Roman"/>
                <w:color w:val="000000"/>
              </w:rPr>
              <w:t>0.0351</w:t>
            </w:r>
          </w:p>
        </w:tc>
      </w:tr>
      <w:tr w:rsidR="000C6FB1" w:rsidRPr="00986722" w14:paraId="16F9AF95" w14:textId="77777777" w:rsidTr="004536F0">
        <w:trPr>
          <w:trHeight w:val="300"/>
        </w:trPr>
        <w:tc>
          <w:tcPr>
            <w:tcW w:w="5090" w:type="dxa"/>
            <w:noWrap/>
            <w:hideMark/>
          </w:tcPr>
          <w:p w14:paraId="22B6600E"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Length of stay (hours) (median, mean ± SD)</w:t>
            </w:r>
          </w:p>
        </w:tc>
        <w:tc>
          <w:tcPr>
            <w:tcW w:w="2230" w:type="dxa"/>
            <w:noWrap/>
            <w:hideMark/>
          </w:tcPr>
          <w:p w14:paraId="498FC18B" w14:textId="77777777" w:rsidR="000C6FB1" w:rsidRPr="00986722" w:rsidRDefault="000C6FB1" w:rsidP="00B9712C">
            <w:pPr>
              <w:jc w:val="center"/>
              <w:rPr>
                <w:rFonts w:eastAsia="Times New Roman"/>
                <w:color w:val="000000"/>
              </w:rPr>
            </w:pPr>
            <w:r w:rsidRPr="00986722">
              <w:rPr>
                <w:rFonts w:eastAsia="Times New Roman"/>
                <w:color w:val="000000"/>
              </w:rPr>
              <w:t>69.8 ( 115.1 ± 154.7)</w:t>
            </w:r>
          </w:p>
        </w:tc>
        <w:tc>
          <w:tcPr>
            <w:tcW w:w="2140" w:type="dxa"/>
            <w:noWrap/>
            <w:hideMark/>
          </w:tcPr>
          <w:p w14:paraId="2B00BDC6" w14:textId="77777777" w:rsidR="000C6FB1" w:rsidRPr="00986722" w:rsidRDefault="000C6FB1" w:rsidP="00B9712C">
            <w:pPr>
              <w:jc w:val="center"/>
              <w:rPr>
                <w:rFonts w:eastAsia="Times New Roman"/>
                <w:color w:val="000000"/>
              </w:rPr>
            </w:pPr>
            <w:r w:rsidRPr="00986722">
              <w:rPr>
                <w:rFonts w:eastAsia="Times New Roman"/>
                <w:color w:val="000000"/>
              </w:rPr>
              <w:t>69.5 ( 114.7 ± 159.3)</w:t>
            </w:r>
          </w:p>
        </w:tc>
        <w:tc>
          <w:tcPr>
            <w:tcW w:w="2140" w:type="dxa"/>
            <w:noWrap/>
            <w:hideMark/>
          </w:tcPr>
          <w:p w14:paraId="567D2B52" w14:textId="77777777" w:rsidR="000C6FB1" w:rsidRPr="00986722" w:rsidRDefault="000C6FB1" w:rsidP="00B9712C">
            <w:pPr>
              <w:jc w:val="center"/>
              <w:rPr>
                <w:rFonts w:eastAsia="Times New Roman"/>
                <w:color w:val="000000"/>
              </w:rPr>
            </w:pPr>
            <w:r w:rsidRPr="00986722">
              <w:rPr>
                <w:rFonts w:eastAsia="Times New Roman"/>
                <w:color w:val="000000"/>
              </w:rPr>
              <w:t>70.1 ( 115.4 ± 150.0)</w:t>
            </w:r>
          </w:p>
        </w:tc>
        <w:tc>
          <w:tcPr>
            <w:tcW w:w="960" w:type="dxa"/>
            <w:noWrap/>
            <w:hideMark/>
          </w:tcPr>
          <w:p w14:paraId="1AF3D331" w14:textId="77777777" w:rsidR="000C6FB1" w:rsidRPr="00986722" w:rsidRDefault="000C6FB1" w:rsidP="00B9712C">
            <w:pPr>
              <w:jc w:val="right"/>
              <w:rPr>
                <w:rFonts w:eastAsia="Times New Roman"/>
                <w:color w:val="000000"/>
              </w:rPr>
            </w:pPr>
            <w:r w:rsidRPr="00986722">
              <w:rPr>
                <w:rFonts w:eastAsia="Times New Roman"/>
                <w:color w:val="000000"/>
              </w:rPr>
              <w:t>0.895</w:t>
            </w:r>
          </w:p>
        </w:tc>
      </w:tr>
      <w:tr w:rsidR="000C6FB1" w:rsidRPr="00986722" w14:paraId="2F071B9F" w14:textId="77777777" w:rsidTr="004536F0">
        <w:trPr>
          <w:trHeight w:val="300"/>
        </w:trPr>
        <w:tc>
          <w:tcPr>
            <w:tcW w:w="5090" w:type="dxa"/>
            <w:noWrap/>
            <w:hideMark/>
          </w:tcPr>
          <w:p w14:paraId="03D1A420"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Inpatient mortality (%)</w:t>
            </w:r>
          </w:p>
        </w:tc>
        <w:tc>
          <w:tcPr>
            <w:tcW w:w="2230" w:type="dxa"/>
            <w:noWrap/>
            <w:hideMark/>
          </w:tcPr>
          <w:p w14:paraId="1C920D8F" w14:textId="77777777" w:rsidR="000C6FB1" w:rsidRPr="00986722" w:rsidRDefault="000C6FB1" w:rsidP="00B9712C">
            <w:pPr>
              <w:jc w:val="center"/>
              <w:rPr>
                <w:rFonts w:eastAsia="Times New Roman"/>
                <w:color w:val="000000"/>
              </w:rPr>
            </w:pPr>
            <w:r w:rsidRPr="00986722">
              <w:rPr>
                <w:rFonts w:eastAsia="Times New Roman"/>
                <w:color w:val="000000"/>
              </w:rPr>
              <w:t xml:space="preserve">216 </w:t>
            </w:r>
            <w:proofErr w:type="gramStart"/>
            <w:r w:rsidRPr="00986722">
              <w:rPr>
                <w:rFonts w:eastAsia="Times New Roman"/>
                <w:color w:val="000000"/>
              </w:rPr>
              <w:t>( 5.4</w:t>
            </w:r>
            <w:proofErr w:type="gramEnd"/>
            <w:r w:rsidRPr="00986722">
              <w:rPr>
                <w:rFonts w:eastAsia="Times New Roman"/>
                <w:color w:val="000000"/>
              </w:rPr>
              <w:t>%)</w:t>
            </w:r>
          </w:p>
        </w:tc>
        <w:tc>
          <w:tcPr>
            <w:tcW w:w="2140" w:type="dxa"/>
            <w:noWrap/>
            <w:hideMark/>
          </w:tcPr>
          <w:p w14:paraId="2A1EE7B0" w14:textId="77777777" w:rsidR="000C6FB1" w:rsidRPr="00986722" w:rsidRDefault="000C6FB1" w:rsidP="00B9712C">
            <w:pPr>
              <w:jc w:val="center"/>
              <w:rPr>
                <w:rFonts w:eastAsia="Times New Roman"/>
                <w:color w:val="000000"/>
              </w:rPr>
            </w:pPr>
            <w:r w:rsidRPr="00986722">
              <w:rPr>
                <w:rFonts w:eastAsia="Times New Roman"/>
                <w:color w:val="000000"/>
              </w:rPr>
              <w:t xml:space="preserve">90 </w:t>
            </w:r>
            <w:proofErr w:type="gramStart"/>
            <w:r w:rsidRPr="00986722">
              <w:rPr>
                <w:rFonts w:eastAsia="Times New Roman"/>
                <w:color w:val="000000"/>
              </w:rPr>
              <w:t>( 4.5</w:t>
            </w:r>
            <w:proofErr w:type="gramEnd"/>
            <w:r w:rsidRPr="00986722">
              <w:rPr>
                <w:rFonts w:eastAsia="Times New Roman"/>
                <w:color w:val="000000"/>
              </w:rPr>
              <w:t>%)</w:t>
            </w:r>
          </w:p>
        </w:tc>
        <w:tc>
          <w:tcPr>
            <w:tcW w:w="2140" w:type="dxa"/>
            <w:noWrap/>
            <w:hideMark/>
          </w:tcPr>
          <w:p w14:paraId="7EAB2260" w14:textId="77777777" w:rsidR="000C6FB1" w:rsidRPr="00986722" w:rsidRDefault="000C6FB1" w:rsidP="00B9712C">
            <w:pPr>
              <w:jc w:val="center"/>
              <w:rPr>
                <w:rFonts w:eastAsia="Times New Roman"/>
                <w:color w:val="000000"/>
              </w:rPr>
            </w:pPr>
            <w:r w:rsidRPr="00986722">
              <w:rPr>
                <w:rFonts w:eastAsia="Times New Roman"/>
                <w:color w:val="000000"/>
              </w:rPr>
              <w:t xml:space="preserve">126 </w:t>
            </w:r>
            <w:proofErr w:type="gramStart"/>
            <w:r w:rsidRPr="00986722">
              <w:rPr>
                <w:rFonts w:eastAsia="Times New Roman"/>
                <w:color w:val="000000"/>
              </w:rPr>
              <w:t>( 6.3</w:t>
            </w:r>
            <w:proofErr w:type="gramEnd"/>
            <w:r w:rsidRPr="00986722">
              <w:rPr>
                <w:rFonts w:eastAsia="Times New Roman"/>
                <w:color w:val="000000"/>
              </w:rPr>
              <w:t>%)</w:t>
            </w:r>
          </w:p>
        </w:tc>
        <w:tc>
          <w:tcPr>
            <w:tcW w:w="960" w:type="dxa"/>
            <w:noWrap/>
            <w:hideMark/>
          </w:tcPr>
          <w:p w14:paraId="0652BC1B" w14:textId="77777777" w:rsidR="000C6FB1" w:rsidRPr="00986722" w:rsidRDefault="000C6FB1" w:rsidP="00B9712C">
            <w:pPr>
              <w:jc w:val="right"/>
              <w:rPr>
                <w:rFonts w:eastAsia="Times New Roman"/>
                <w:color w:val="000000"/>
              </w:rPr>
            </w:pPr>
            <w:r w:rsidRPr="00986722">
              <w:rPr>
                <w:rFonts w:eastAsia="Times New Roman"/>
                <w:color w:val="000000"/>
              </w:rPr>
              <w:t>0.0118</w:t>
            </w:r>
          </w:p>
        </w:tc>
      </w:tr>
      <w:tr w:rsidR="000C6FB1" w:rsidRPr="00986722" w14:paraId="5547140C" w14:textId="77777777" w:rsidTr="004536F0">
        <w:trPr>
          <w:trHeight w:val="300"/>
        </w:trPr>
        <w:tc>
          <w:tcPr>
            <w:tcW w:w="5090" w:type="dxa"/>
            <w:noWrap/>
            <w:hideMark/>
          </w:tcPr>
          <w:p w14:paraId="3EBB6500"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lastRenderedPageBreak/>
              <w:t>30 day mortality (%)</w:t>
            </w:r>
          </w:p>
        </w:tc>
        <w:tc>
          <w:tcPr>
            <w:tcW w:w="2230" w:type="dxa"/>
            <w:noWrap/>
            <w:hideMark/>
          </w:tcPr>
          <w:p w14:paraId="361E7A5B" w14:textId="77777777" w:rsidR="000C6FB1" w:rsidRPr="00986722" w:rsidRDefault="000C6FB1" w:rsidP="00B9712C">
            <w:pPr>
              <w:jc w:val="center"/>
              <w:rPr>
                <w:rFonts w:eastAsia="Times New Roman"/>
                <w:color w:val="000000"/>
              </w:rPr>
            </w:pPr>
            <w:r w:rsidRPr="00986722">
              <w:rPr>
                <w:rFonts w:eastAsia="Times New Roman"/>
                <w:color w:val="000000"/>
              </w:rPr>
              <w:t xml:space="preserve">311 </w:t>
            </w:r>
            <w:proofErr w:type="gramStart"/>
            <w:r w:rsidRPr="00986722">
              <w:rPr>
                <w:rFonts w:eastAsia="Times New Roman"/>
                <w:color w:val="000000"/>
              </w:rPr>
              <w:t>( 7.8</w:t>
            </w:r>
            <w:proofErr w:type="gramEnd"/>
            <w:r w:rsidRPr="00986722">
              <w:rPr>
                <w:rFonts w:eastAsia="Times New Roman"/>
                <w:color w:val="000000"/>
              </w:rPr>
              <w:t>%)</w:t>
            </w:r>
          </w:p>
        </w:tc>
        <w:tc>
          <w:tcPr>
            <w:tcW w:w="2140" w:type="dxa"/>
            <w:noWrap/>
            <w:hideMark/>
          </w:tcPr>
          <w:p w14:paraId="4A48C83B" w14:textId="77777777" w:rsidR="000C6FB1" w:rsidRPr="00986722" w:rsidRDefault="000C6FB1" w:rsidP="00B9712C">
            <w:pPr>
              <w:jc w:val="center"/>
              <w:rPr>
                <w:rFonts w:eastAsia="Times New Roman"/>
                <w:color w:val="000000"/>
              </w:rPr>
            </w:pPr>
            <w:r w:rsidRPr="00986722">
              <w:rPr>
                <w:rFonts w:eastAsia="Times New Roman"/>
                <w:color w:val="000000"/>
              </w:rPr>
              <w:t xml:space="preserve">143 </w:t>
            </w:r>
            <w:proofErr w:type="gramStart"/>
            <w:r w:rsidRPr="00986722">
              <w:rPr>
                <w:rFonts w:eastAsia="Times New Roman"/>
                <w:color w:val="000000"/>
              </w:rPr>
              <w:t>( 7.1</w:t>
            </w:r>
            <w:proofErr w:type="gramEnd"/>
            <w:r w:rsidRPr="00986722">
              <w:rPr>
                <w:rFonts w:eastAsia="Times New Roman"/>
                <w:color w:val="000000"/>
              </w:rPr>
              <w:t>%)</w:t>
            </w:r>
          </w:p>
        </w:tc>
        <w:tc>
          <w:tcPr>
            <w:tcW w:w="2140" w:type="dxa"/>
            <w:noWrap/>
            <w:hideMark/>
          </w:tcPr>
          <w:p w14:paraId="65364ABC" w14:textId="77777777" w:rsidR="000C6FB1" w:rsidRPr="00986722" w:rsidRDefault="000C6FB1" w:rsidP="00B9712C">
            <w:pPr>
              <w:jc w:val="center"/>
              <w:rPr>
                <w:rFonts w:eastAsia="Times New Roman"/>
                <w:color w:val="000000"/>
              </w:rPr>
            </w:pPr>
            <w:r w:rsidRPr="00986722">
              <w:rPr>
                <w:rFonts w:eastAsia="Times New Roman"/>
                <w:color w:val="000000"/>
              </w:rPr>
              <w:t xml:space="preserve">168 </w:t>
            </w:r>
            <w:proofErr w:type="gramStart"/>
            <w:r w:rsidRPr="00986722">
              <w:rPr>
                <w:rFonts w:eastAsia="Times New Roman"/>
                <w:color w:val="000000"/>
              </w:rPr>
              <w:t>( 8.4</w:t>
            </w:r>
            <w:proofErr w:type="gramEnd"/>
            <w:r w:rsidRPr="00986722">
              <w:rPr>
                <w:rFonts w:eastAsia="Times New Roman"/>
                <w:color w:val="000000"/>
              </w:rPr>
              <w:t>%)</w:t>
            </w:r>
          </w:p>
        </w:tc>
        <w:tc>
          <w:tcPr>
            <w:tcW w:w="960" w:type="dxa"/>
            <w:noWrap/>
            <w:hideMark/>
          </w:tcPr>
          <w:p w14:paraId="6EDDFD30" w14:textId="77777777" w:rsidR="000C6FB1" w:rsidRPr="00986722" w:rsidRDefault="000C6FB1" w:rsidP="00B9712C">
            <w:pPr>
              <w:jc w:val="right"/>
              <w:rPr>
                <w:rFonts w:eastAsia="Times New Roman"/>
                <w:color w:val="000000"/>
              </w:rPr>
            </w:pPr>
            <w:r w:rsidRPr="00986722">
              <w:rPr>
                <w:rFonts w:eastAsia="Times New Roman"/>
                <w:color w:val="000000"/>
              </w:rPr>
              <w:t>0.1399</w:t>
            </w:r>
          </w:p>
        </w:tc>
      </w:tr>
      <w:tr w:rsidR="000C6FB1" w:rsidRPr="00986722" w14:paraId="342B6156" w14:textId="77777777" w:rsidTr="004536F0">
        <w:trPr>
          <w:trHeight w:val="300"/>
        </w:trPr>
        <w:tc>
          <w:tcPr>
            <w:tcW w:w="5090" w:type="dxa"/>
            <w:noWrap/>
            <w:hideMark/>
          </w:tcPr>
          <w:p w14:paraId="22D8E2B5"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All cause rehospitalization within 30 days (%)</w:t>
            </w:r>
          </w:p>
        </w:tc>
        <w:tc>
          <w:tcPr>
            <w:tcW w:w="2230" w:type="dxa"/>
            <w:noWrap/>
            <w:hideMark/>
          </w:tcPr>
          <w:p w14:paraId="757E0521" w14:textId="77777777" w:rsidR="000C6FB1" w:rsidRPr="00986722" w:rsidRDefault="000C6FB1" w:rsidP="00B9712C">
            <w:pPr>
              <w:jc w:val="center"/>
              <w:rPr>
                <w:rFonts w:eastAsia="Times New Roman"/>
                <w:color w:val="000000"/>
              </w:rPr>
            </w:pPr>
            <w:r w:rsidRPr="00986722">
              <w:rPr>
                <w:rFonts w:eastAsia="Times New Roman"/>
                <w:color w:val="000000"/>
              </w:rPr>
              <w:t xml:space="preserve">712 </w:t>
            </w:r>
            <w:proofErr w:type="gramStart"/>
            <w:r w:rsidRPr="00986722">
              <w:rPr>
                <w:rFonts w:eastAsia="Times New Roman"/>
                <w:color w:val="000000"/>
              </w:rPr>
              <w:t>( 17.8</w:t>
            </w:r>
            <w:proofErr w:type="gramEnd"/>
            <w:r w:rsidRPr="00986722">
              <w:rPr>
                <w:rFonts w:eastAsia="Times New Roman"/>
                <w:color w:val="000000"/>
              </w:rPr>
              <w:t>%)</w:t>
            </w:r>
          </w:p>
        </w:tc>
        <w:tc>
          <w:tcPr>
            <w:tcW w:w="2140" w:type="dxa"/>
            <w:noWrap/>
            <w:hideMark/>
          </w:tcPr>
          <w:p w14:paraId="7E97B8D9" w14:textId="77777777" w:rsidR="000C6FB1" w:rsidRPr="00986722" w:rsidRDefault="000C6FB1" w:rsidP="00B9712C">
            <w:pPr>
              <w:jc w:val="center"/>
              <w:rPr>
                <w:rFonts w:eastAsia="Times New Roman"/>
                <w:color w:val="000000"/>
              </w:rPr>
            </w:pPr>
            <w:r w:rsidRPr="00986722">
              <w:rPr>
                <w:rFonts w:eastAsia="Times New Roman"/>
                <w:color w:val="000000"/>
              </w:rPr>
              <w:t xml:space="preserve">359 </w:t>
            </w:r>
            <w:proofErr w:type="gramStart"/>
            <w:r w:rsidRPr="00986722">
              <w:rPr>
                <w:rFonts w:eastAsia="Times New Roman"/>
                <w:color w:val="000000"/>
              </w:rPr>
              <w:t>( 17.9</w:t>
            </w:r>
            <w:proofErr w:type="gramEnd"/>
            <w:r w:rsidRPr="00986722">
              <w:rPr>
                <w:rFonts w:eastAsia="Times New Roman"/>
                <w:color w:val="000000"/>
              </w:rPr>
              <w:t>%)</w:t>
            </w:r>
          </w:p>
        </w:tc>
        <w:tc>
          <w:tcPr>
            <w:tcW w:w="2140" w:type="dxa"/>
            <w:noWrap/>
            <w:hideMark/>
          </w:tcPr>
          <w:p w14:paraId="1D9B5266" w14:textId="77777777" w:rsidR="000C6FB1" w:rsidRPr="00986722" w:rsidRDefault="000C6FB1" w:rsidP="00B9712C">
            <w:pPr>
              <w:jc w:val="center"/>
              <w:rPr>
                <w:rFonts w:eastAsia="Times New Roman"/>
                <w:color w:val="000000"/>
              </w:rPr>
            </w:pPr>
            <w:r w:rsidRPr="00986722">
              <w:rPr>
                <w:rFonts w:eastAsia="Times New Roman"/>
                <w:color w:val="000000"/>
              </w:rPr>
              <w:t xml:space="preserve">353 </w:t>
            </w:r>
            <w:proofErr w:type="gramStart"/>
            <w:r w:rsidRPr="00986722">
              <w:rPr>
                <w:rFonts w:eastAsia="Times New Roman"/>
                <w:color w:val="000000"/>
              </w:rPr>
              <w:t>( 17.6</w:t>
            </w:r>
            <w:proofErr w:type="gramEnd"/>
            <w:r w:rsidRPr="00986722">
              <w:rPr>
                <w:rFonts w:eastAsia="Times New Roman"/>
                <w:color w:val="000000"/>
              </w:rPr>
              <w:t>%)</w:t>
            </w:r>
          </w:p>
        </w:tc>
        <w:tc>
          <w:tcPr>
            <w:tcW w:w="960" w:type="dxa"/>
            <w:noWrap/>
            <w:hideMark/>
          </w:tcPr>
          <w:p w14:paraId="6AB4C661" w14:textId="77777777" w:rsidR="000C6FB1" w:rsidRPr="00986722" w:rsidRDefault="000C6FB1" w:rsidP="00B9712C">
            <w:pPr>
              <w:jc w:val="right"/>
              <w:rPr>
                <w:rFonts w:eastAsia="Times New Roman"/>
                <w:color w:val="000000"/>
              </w:rPr>
            </w:pPr>
            <w:r w:rsidRPr="00986722">
              <w:rPr>
                <w:rFonts w:eastAsia="Times New Roman"/>
                <w:color w:val="000000"/>
              </w:rPr>
              <w:t>0.8042</w:t>
            </w:r>
          </w:p>
        </w:tc>
      </w:tr>
      <w:tr w:rsidR="000C6FB1" w:rsidRPr="00986722" w14:paraId="59E914B7" w14:textId="77777777" w:rsidTr="004536F0">
        <w:trPr>
          <w:trHeight w:val="300"/>
        </w:trPr>
        <w:tc>
          <w:tcPr>
            <w:tcW w:w="5090" w:type="dxa"/>
            <w:noWrap/>
            <w:hideMark/>
          </w:tcPr>
          <w:p w14:paraId="7F4201DF"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 xml:space="preserve">Cardiac </w:t>
            </w:r>
            <w:proofErr w:type="spellStart"/>
            <w:r w:rsidRPr="00986722">
              <w:rPr>
                <w:rFonts w:eastAsia="Times New Roman"/>
                <w:b/>
                <w:bCs/>
                <w:color w:val="000000"/>
                <w:sz w:val="20"/>
              </w:rPr>
              <w:t>cath</w:t>
            </w:r>
            <w:proofErr w:type="spellEnd"/>
            <w:r w:rsidRPr="00986722">
              <w:rPr>
                <w:rFonts w:eastAsia="Times New Roman"/>
                <w:b/>
                <w:bCs/>
                <w:color w:val="000000"/>
                <w:sz w:val="20"/>
              </w:rPr>
              <w:t xml:space="preserve"> procedure referral timing</w:t>
            </w:r>
          </w:p>
        </w:tc>
        <w:tc>
          <w:tcPr>
            <w:tcW w:w="2230" w:type="dxa"/>
            <w:noWrap/>
            <w:hideMark/>
          </w:tcPr>
          <w:p w14:paraId="224EBBDA" w14:textId="77777777" w:rsidR="000C6FB1" w:rsidRPr="00986722" w:rsidRDefault="000C6FB1" w:rsidP="00B9712C">
            <w:pPr>
              <w:jc w:val="center"/>
              <w:rPr>
                <w:rFonts w:eastAsia="Times New Roman"/>
                <w:color w:val="000000"/>
              </w:rPr>
            </w:pPr>
          </w:p>
        </w:tc>
        <w:tc>
          <w:tcPr>
            <w:tcW w:w="2140" w:type="dxa"/>
            <w:noWrap/>
            <w:hideMark/>
          </w:tcPr>
          <w:p w14:paraId="41896CFE" w14:textId="77777777" w:rsidR="000C6FB1" w:rsidRPr="00986722" w:rsidRDefault="000C6FB1" w:rsidP="00B9712C">
            <w:pPr>
              <w:jc w:val="center"/>
              <w:rPr>
                <w:rFonts w:eastAsia="Times New Roman"/>
                <w:color w:val="000000"/>
              </w:rPr>
            </w:pPr>
          </w:p>
        </w:tc>
        <w:tc>
          <w:tcPr>
            <w:tcW w:w="2140" w:type="dxa"/>
            <w:noWrap/>
            <w:hideMark/>
          </w:tcPr>
          <w:p w14:paraId="50271B19" w14:textId="77777777" w:rsidR="000C6FB1" w:rsidRPr="00986722" w:rsidRDefault="000C6FB1" w:rsidP="00B9712C">
            <w:pPr>
              <w:jc w:val="center"/>
              <w:rPr>
                <w:rFonts w:eastAsia="Times New Roman"/>
                <w:color w:val="000000"/>
              </w:rPr>
            </w:pPr>
          </w:p>
        </w:tc>
        <w:tc>
          <w:tcPr>
            <w:tcW w:w="960" w:type="dxa"/>
            <w:noWrap/>
            <w:hideMark/>
          </w:tcPr>
          <w:p w14:paraId="07476B39" w14:textId="77777777" w:rsidR="000C6FB1" w:rsidRPr="00986722" w:rsidRDefault="000C6FB1" w:rsidP="00B9712C">
            <w:pPr>
              <w:jc w:val="right"/>
              <w:rPr>
                <w:rFonts w:eastAsia="Times New Roman"/>
                <w:color w:val="000000"/>
              </w:rPr>
            </w:pPr>
          </w:p>
        </w:tc>
      </w:tr>
      <w:tr w:rsidR="000C6FB1" w:rsidRPr="00986722" w14:paraId="248F4062" w14:textId="77777777" w:rsidTr="004536F0">
        <w:trPr>
          <w:trHeight w:val="300"/>
        </w:trPr>
        <w:tc>
          <w:tcPr>
            <w:tcW w:w="5090" w:type="dxa"/>
            <w:noWrap/>
            <w:hideMark/>
          </w:tcPr>
          <w:p w14:paraId="5DCC945C"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 xml:space="preserve">            1 day pre </w:t>
            </w:r>
            <w:proofErr w:type="spellStart"/>
            <w:r w:rsidRPr="00986722">
              <w:rPr>
                <w:rFonts w:eastAsia="Times New Roman"/>
                <w:b/>
                <w:bCs/>
                <w:color w:val="000000"/>
                <w:sz w:val="20"/>
              </w:rPr>
              <w:t>adm</w:t>
            </w:r>
            <w:proofErr w:type="spellEnd"/>
            <w:r w:rsidRPr="00986722">
              <w:rPr>
                <w:rFonts w:eastAsia="Times New Roman"/>
                <w:b/>
                <w:bCs/>
                <w:color w:val="000000"/>
                <w:sz w:val="20"/>
              </w:rPr>
              <w:t xml:space="preserve"> to </w:t>
            </w:r>
            <w:proofErr w:type="spellStart"/>
            <w:r w:rsidRPr="00986722">
              <w:rPr>
                <w:rFonts w:eastAsia="Times New Roman"/>
                <w:b/>
                <w:bCs/>
                <w:color w:val="000000"/>
                <w:sz w:val="20"/>
              </w:rPr>
              <w:t>disch</w:t>
            </w:r>
            <w:proofErr w:type="spellEnd"/>
          </w:p>
        </w:tc>
        <w:tc>
          <w:tcPr>
            <w:tcW w:w="2230" w:type="dxa"/>
            <w:noWrap/>
            <w:hideMark/>
          </w:tcPr>
          <w:p w14:paraId="0C646C22" w14:textId="77777777" w:rsidR="000C6FB1" w:rsidRPr="00986722" w:rsidRDefault="000C6FB1" w:rsidP="00B9712C">
            <w:pPr>
              <w:jc w:val="center"/>
              <w:rPr>
                <w:rFonts w:eastAsia="Times New Roman"/>
                <w:color w:val="000000"/>
              </w:rPr>
            </w:pPr>
            <w:r w:rsidRPr="00986722">
              <w:rPr>
                <w:rFonts w:eastAsia="Times New Roman"/>
                <w:color w:val="000000"/>
              </w:rPr>
              <w:t xml:space="preserve">2,171 </w:t>
            </w:r>
            <w:proofErr w:type="gramStart"/>
            <w:r w:rsidRPr="00986722">
              <w:rPr>
                <w:rFonts w:eastAsia="Times New Roman"/>
                <w:color w:val="000000"/>
              </w:rPr>
              <w:t>( 54.1</w:t>
            </w:r>
            <w:proofErr w:type="gramEnd"/>
            <w:r w:rsidRPr="00986722">
              <w:rPr>
                <w:rFonts w:eastAsia="Times New Roman"/>
                <w:color w:val="000000"/>
              </w:rPr>
              <w:t>%)</w:t>
            </w:r>
          </w:p>
        </w:tc>
        <w:tc>
          <w:tcPr>
            <w:tcW w:w="2140" w:type="dxa"/>
            <w:noWrap/>
            <w:hideMark/>
          </w:tcPr>
          <w:p w14:paraId="03951E9C" w14:textId="77777777" w:rsidR="000C6FB1" w:rsidRPr="00986722" w:rsidRDefault="000C6FB1" w:rsidP="00B9712C">
            <w:pPr>
              <w:jc w:val="center"/>
              <w:rPr>
                <w:rFonts w:eastAsia="Times New Roman"/>
                <w:color w:val="000000"/>
              </w:rPr>
            </w:pPr>
            <w:r w:rsidRPr="00986722">
              <w:rPr>
                <w:rFonts w:eastAsia="Times New Roman"/>
                <w:color w:val="000000"/>
              </w:rPr>
              <w:t xml:space="preserve">1,106 </w:t>
            </w:r>
            <w:proofErr w:type="gramStart"/>
            <w:r w:rsidRPr="00986722">
              <w:rPr>
                <w:rFonts w:eastAsia="Times New Roman"/>
                <w:color w:val="000000"/>
              </w:rPr>
              <w:t>( 55.1</w:t>
            </w:r>
            <w:proofErr w:type="gramEnd"/>
            <w:r w:rsidRPr="00986722">
              <w:rPr>
                <w:rFonts w:eastAsia="Times New Roman"/>
                <w:color w:val="000000"/>
              </w:rPr>
              <w:t>%)</w:t>
            </w:r>
          </w:p>
        </w:tc>
        <w:tc>
          <w:tcPr>
            <w:tcW w:w="2140" w:type="dxa"/>
            <w:noWrap/>
            <w:hideMark/>
          </w:tcPr>
          <w:p w14:paraId="0AC3FA60" w14:textId="77777777" w:rsidR="000C6FB1" w:rsidRPr="00986722" w:rsidRDefault="000C6FB1" w:rsidP="00B9712C">
            <w:pPr>
              <w:jc w:val="center"/>
              <w:rPr>
                <w:rFonts w:eastAsia="Times New Roman"/>
                <w:color w:val="000000"/>
              </w:rPr>
            </w:pPr>
            <w:r w:rsidRPr="00986722">
              <w:rPr>
                <w:rFonts w:eastAsia="Times New Roman"/>
                <w:color w:val="000000"/>
              </w:rPr>
              <w:t xml:space="preserve">1,065 </w:t>
            </w:r>
            <w:proofErr w:type="gramStart"/>
            <w:r w:rsidRPr="00986722">
              <w:rPr>
                <w:rFonts w:eastAsia="Times New Roman"/>
                <w:color w:val="000000"/>
              </w:rPr>
              <w:t>( 53.1</w:t>
            </w:r>
            <w:proofErr w:type="gramEnd"/>
            <w:r w:rsidRPr="00986722">
              <w:rPr>
                <w:rFonts w:eastAsia="Times New Roman"/>
                <w:color w:val="000000"/>
              </w:rPr>
              <w:t>%)</w:t>
            </w:r>
          </w:p>
        </w:tc>
        <w:tc>
          <w:tcPr>
            <w:tcW w:w="960" w:type="dxa"/>
            <w:noWrap/>
            <w:hideMark/>
          </w:tcPr>
          <w:p w14:paraId="1B68F517" w14:textId="77777777" w:rsidR="000C6FB1" w:rsidRPr="00986722" w:rsidRDefault="000C6FB1" w:rsidP="00B9712C">
            <w:pPr>
              <w:jc w:val="right"/>
              <w:rPr>
                <w:rFonts w:eastAsia="Times New Roman"/>
                <w:color w:val="000000"/>
              </w:rPr>
            </w:pPr>
            <w:r w:rsidRPr="00986722">
              <w:rPr>
                <w:rFonts w:eastAsia="Times New Roman"/>
                <w:color w:val="000000"/>
              </w:rPr>
              <w:t>0.5686</w:t>
            </w:r>
          </w:p>
        </w:tc>
      </w:tr>
      <w:tr w:rsidR="000C6FB1" w:rsidRPr="00986722" w14:paraId="68A7D7B7" w14:textId="77777777" w:rsidTr="004536F0">
        <w:trPr>
          <w:trHeight w:val="300"/>
        </w:trPr>
        <w:tc>
          <w:tcPr>
            <w:tcW w:w="5090" w:type="dxa"/>
            <w:noWrap/>
            <w:hideMark/>
          </w:tcPr>
          <w:p w14:paraId="26A5BEF4"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 xml:space="preserve">            2 days pre </w:t>
            </w:r>
            <w:proofErr w:type="spellStart"/>
            <w:r w:rsidRPr="00986722">
              <w:rPr>
                <w:rFonts w:eastAsia="Times New Roman"/>
                <w:b/>
                <w:bCs/>
                <w:color w:val="000000"/>
                <w:sz w:val="20"/>
              </w:rPr>
              <w:t>adm</w:t>
            </w:r>
            <w:proofErr w:type="spellEnd"/>
            <w:r w:rsidRPr="00986722">
              <w:rPr>
                <w:rFonts w:eastAsia="Times New Roman"/>
                <w:b/>
                <w:bCs/>
                <w:color w:val="000000"/>
                <w:sz w:val="20"/>
              </w:rPr>
              <w:t xml:space="preserve"> or earlier</w:t>
            </w:r>
          </w:p>
        </w:tc>
        <w:tc>
          <w:tcPr>
            <w:tcW w:w="2230" w:type="dxa"/>
            <w:noWrap/>
            <w:hideMark/>
          </w:tcPr>
          <w:p w14:paraId="3F9B57D4" w14:textId="77777777" w:rsidR="000C6FB1" w:rsidRPr="00986722" w:rsidRDefault="000C6FB1" w:rsidP="00B9712C">
            <w:pPr>
              <w:jc w:val="center"/>
              <w:rPr>
                <w:rFonts w:eastAsia="Times New Roman"/>
                <w:color w:val="000000"/>
              </w:rPr>
            </w:pPr>
            <w:r w:rsidRPr="00986722">
              <w:rPr>
                <w:rFonts w:eastAsia="Times New Roman"/>
                <w:color w:val="000000"/>
              </w:rPr>
              <w:t xml:space="preserve">150 </w:t>
            </w:r>
            <w:proofErr w:type="gramStart"/>
            <w:r w:rsidRPr="00986722">
              <w:rPr>
                <w:rFonts w:eastAsia="Times New Roman"/>
                <w:color w:val="000000"/>
              </w:rPr>
              <w:t>( 3.7</w:t>
            </w:r>
            <w:proofErr w:type="gramEnd"/>
            <w:r w:rsidRPr="00986722">
              <w:rPr>
                <w:rFonts w:eastAsia="Times New Roman"/>
                <w:color w:val="000000"/>
              </w:rPr>
              <w:t>%)</w:t>
            </w:r>
          </w:p>
        </w:tc>
        <w:tc>
          <w:tcPr>
            <w:tcW w:w="2140" w:type="dxa"/>
            <w:noWrap/>
            <w:hideMark/>
          </w:tcPr>
          <w:p w14:paraId="45853AE7" w14:textId="77777777" w:rsidR="000C6FB1" w:rsidRPr="00986722" w:rsidRDefault="000C6FB1" w:rsidP="00B9712C">
            <w:pPr>
              <w:jc w:val="center"/>
              <w:rPr>
                <w:rFonts w:eastAsia="Times New Roman"/>
                <w:color w:val="000000"/>
              </w:rPr>
            </w:pPr>
            <w:r w:rsidRPr="00986722">
              <w:rPr>
                <w:rFonts w:eastAsia="Times New Roman"/>
                <w:color w:val="000000"/>
              </w:rPr>
              <w:t xml:space="preserve">73 </w:t>
            </w:r>
            <w:proofErr w:type="gramStart"/>
            <w:r w:rsidRPr="00986722">
              <w:rPr>
                <w:rFonts w:eastAsia="Times New Roman"/>
                <w:color w:val="000000"/>
              </w:rPr>
              <w:t>( 3.6</w:t>
            </w:r>
            <w:proofErr w:type="gramEnd"/>
            <w:r w:rsidRPr="00986722">
              <w:rPr>
                <w:rFonts w:eastAsia="Times New Roman"/>
                <w:color w:val="000000"/>
              </w:rPr>
              <w:t>%)</w:t>
            </w:r>
          </w:p>
        </w:tc>
        <w:tc>
          <w:tcPr>
            <w:tcW w:w="2140" w:type="dxa"/>
            <w:noWrap/>
            <w:hideMark/>
          </w:tcPr>
          <w:p w14:paraId="2331966C" w14:textId="77777777" w:rsidR="000C6FB1" w:rsidRPr="00986722" w:rsidRDefault="000C6FB1" w:rsidP="00B9712C">
            <w:pPr>
              <w:jc w:val="center"/>
              <w:rPr>
                <w:rFonts w:eastAsia="Times New Roman"/>
                <w:color w:val="000000"/>
              </w:rPr>
            </w:pPr>
            <w:r w:rsidRPr="00986722">
              <w:rPr>
                <w:rFonts w:eastAsia="Times New Roman"/>
                <w:color w:val="000000"/>
              </w:rPr>
              <w:t xml:space="preserve">77 </w:t>
            </w:r>
            <w:proofErr w:type="gramStart"/>
            <w:r w:rsidRPr="00986722">
              <w:rPr>
                <w:rFonts w:eastAsia="Times New Roman"/>
                <w:color w:val="000000"/>
              </w:rPr>
              <w:t>( 3.8</w:t>
            </w:r>
            <w:proofErr w:type="gramEnd"/>
            <w:r w:rsidRPr="00986722">
              <w:rPr>
                <w:rFonts w:eastAsia="Times New Roman"/>
                <w:color w:val="000000"/>
              </w:rPr>
              <w:t>%)</w:t>
            </w:r>
          </w:p>
        </w:tc>
        <w:tc>
          <w:tcPr>
            <w:tcW w:w="960" w:type="dxa"/>
            <w:noWrap/>
            <w:hideMark/>
          </w:tcPr>
          <w:p w14:paraId="4064734B" w14:textId="77777777" w:rsidR="000C6FB1" w:rsidRPr="00986722" w:rsidRDefault="000C6FB1" w:rsidP="00B9712C">
            <w:pPr>
              <w:jc w:val="right"/>
              <w:rPr>
                <w:rFonts w:eastAsia="Times New Roman"/>
                <w:color w:val="000000"/>
              </w:rPr>
            </w:pPr>
          </w:p>
        </w:tc>
      </w:tr>
      <w:tr w:rsidR="000C6FB1" w:rsidRPr="00986722" w14:paraId="427A4C29" w14:textId="77777777" w:rsidTr="004536F0">
        <w:trPr>
          <w:trHeight w:val="300"/>
        </w:trPr>
        <w:tc>
          <w:tcPr>
            <w:tcW w:w="5090" w:type="dxa"/>
            <w:noWrap/>
            <w:hideMark/>
          </w:tcPr>
          <w:p w14:paraId="0A0B6EA9"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 xml:space="preserve">            After discharge</w:t>
            </w:r>
          </w:p>
        </w:tc>
        <w:tc>
          <w:tcPr>
            <w:tcW w:w="2230" w:type="dxa"/>
            <w:noWrap/>
            <w:hideMark/>
          </w:tcPr>
          <w:p w14:paraId="73A10170" w14:textId="77777777" w:rsidR="000C6FB1" w:rsidRPr="00986722" w:rsidRDefault="000C6FB1" w:rsidP="00B9712C">
            <w:pPr>
              <w:jc w:val="center"/>
              <w:rPr>
                <w:rFonts w:eastAsia="Times New Roman"/>
                <w:color w:val="000000"/>
              </w:rPr>
            </w:pPr>
            <w:r w:rsidRPr="00986722">
              <w:rPr>
                <w:rFonts w:eastAsia="Times New Roman"/>
                <w:color w:val="000000"/>
              </w:rPr>
              <w:t xml:space="preserve">175 </w:t>
            </w:r>
            <w:proofErr w:type="gramStart"/>
            <w:r w:rsidRPr="00986722">
              <w:rPr>
                <w:rFonts w:eastAsia="Times New Roman"/>
                <w:color w:val="000000"/>
              </w:rPr>
              <w:t>( 4.4</w:t>
            </w:r>
            <w:proofErr w:type="gramEnd"/>
            <w:r w:rsidRPr="00986722">
              <w:rPr>
                <w:rFonts w:eastAsia="Times New Roman"/>
                <w:color w:val="000000"/>
              </w:rPr>
              <w:t>%)</w:t>
            </w:r>
          </w:p>
        </w:tc>
        <w:tc>
          <w:tcPr>
            <w:tcW w:w="2140" w:type="dxa"/>
            <w:noWrap/>
            <w:hideMark/>
          </w:tcPr>
          <w:p w14:paraId="02C120CC" w14:textId="77777777" w:rsidR="000C6FB1" w:rsidRPr="00986722" w:rsidRDefault="000C6FB1" w:rsidP="00B9712C">
            <w:pPr>
              <w:jc w:val="center"/>
              <w:rPr>
                <w:rFonts w:eastAsia="Times New Roman"/>
                <w:color w:val="000000"/>
              </w:rPr>
            </w:pPr>
            <w:r w:rsidRPr="00986722">
              <w:rPr>
                <w:rFonts w:eastAsia="Times New Roman"/>
                <w:color w:val="000000"/>
              </w:rPr>
              <w:t xml:space="preserve">82 </w:t>
            </w:r>
            <w:proofErr w:type="gramStart"/>
            <w:r w:rsidRPr="00986722">
              <w:rPr>
                <w:rFonts w:eastAsia="Times New Roman"/>
                <w:color w:val="000000"/>
              </w:rPr>
              <w:t>( 4.1</w:t>
            </w:r>
            <w:proofErr w:type="gramEnd"/>
            <w:r w:rsidRPr="00986722">
              <w:rPr>
                <w:rFonts w:eastAsia="Times New Roman"/>
                <w:color w:val="000000"/>
              </w:rPr>
              <w:t>%)</w:t>
            </w:r>
          </w:p>
        </w:tc>
        <w:tc>
          <w:tcPr>
            <w:tcW w:w="2140" w:type="dxa"/>
            <w:noWrap/>
            <w:hideMark/>
          </w:tcPr>
          <w:p w14:paraId="4613F65E" w14:textId="77777777" w:rsidR="000C6FB1" w:rsidRPr="00986722" w:rsidRDefault="000C6FB1" w:rsidP="00B9712C">
            <w:pPr>
              <w:jc w:val="center"/>
              <w:rPr>
                <w:rFonts w:eastAsia="Times New Roman"/>
                <w:color w:val="000000"/>
              </w:rPr>
            </w:pPr>
            <w:r w:rsidRPr="00986722">
              <w:rPr>
                <w:rFonts w:eastAsia="Times New Roman"/>
                <w:color w:val="000000"/>
              </w:rPr>
              <w:t xml:space="preserve">93 </w:t>
            </w:r>
            <w:proofErr w:type="gramStart"/>
            <w:r w:rsidRPr="00986722">
              <w:rPr>
                <w:rFonts w:eastAsia="Times New Roman"/>
                <w:color w:val="000000"/>
              </w:rPr>
              <w:t>( 4.6</w:t>
            </w:r>
            <w:proofErr w:type="gramEnd"/>
            <w:r w:rsidRPr="00986722">
              <w:rPr>
                <w:rFonts w:eastAsia="Times New Roman"/>
                <w:color w:val="000000"/>
              </w:rPr>
              <w:t>%)</w:t>
            </w:r>
          </w:p>
        </w:tc>
        <w:tc>
          <w:tcPr>
            <w:tcW w:w="960" w:type="dxa"/>
            <w:noWrap/>
            <w:hideMark/>
          </w:tcPr>
          <w:p w14:paraId="06DF6034" w14:textId="77777777" w:rsidR="000C6FB1" w:rsidRPr="00986722" w:rsidRDefault="000C6FB1" w:rsidP="00B9712C">
            <w:pPr>
              <w:jc w:val="right"/>
              <w:rPr>
                <w:rFonts w:eastAsia="Times New Roman"/>
                <w:color w:val="000000"/>
              </w:rPr>
            </w:pPr>
          </w:p>
        </w:tc>
      </w:tr>
      <w:tr w:rsidR="000C6FB1" w:rsidRPr="00986722" w14:paraId="1EDCA3C9" w14:textId="77777777" w:rsidTr="004536F0">
        <w:trPr>
          <w:trHeight w:val="315"/>
        </w:trPr>
        <w:tc>
          <w:tcPr>
            <w:tcW w:w="5090" w:type="dxa"/>
            <w:noWrap/>
            <w:hideMark/>
          </w:tcPr>
          <w:p w14:paraId="68C88D3F" w14:textId="77777777" w:rsidR="000C6FB1" w:rsidRPr="00986722" w:rsidRDefault="000C6FB1" w:rsidP="00B9712C">
            <w:pPr>
              <w:rPr>
                <w:rFonts w:eastAsia="Times New Roman"/>
                <w:b/>
                <w:bCs/>
                <w:color w:val="000000"/>
                <w:sz w:val="20"/>
                <w:szCs w:val="20"/>
              </w:rPr>
            </w:pPr>
            <w:r w:rsidRPr="00986722">
              <w:rPr>
                <w:rFonts w:eastAsia="Times New Roman"/>
                <w:b/>
                <w:bCs/>
                <w:color w:val="000000"/>
                <w:sz w:val="20"/>
              </w:rPr>
              <w:t xml:space="preserve">            No referral</w:t>
            </w:r>
          </w:p>
        </w:tc>
        <w:tc>
          <w:tcPr>
            <w:tcW w:w="2230" w:type="dxa"/>
            <w:noWrap/>
            <w:hideMark/>
          </w:tcPr>
          <w:p w14:paraId="70DF873F" w14:textId="77777777" w:rsidR="000C6FB1" w:rsidRPr="00986722" w:rsidRDefault="000C6FB1" w:rsidP="00B9712C">
            <w:pPr>
              <w:jc w:val="center"/>
              <w:rPr>
                <w:rFonts w:eastAsia="Times New Roman"/>
                <w:color w:val="000000"/>
              </w:rPr>
            </w:pPr>
            <w:r w:rsidRPr="00986722">
              <w:rPr>
                <w:rFonts w:eastAsia="Times New Roman"/>
                <w:color w:val="000000"/>
              </w:rPr>
              <w:t xml:space="preserve">1,516 </w:t>
            </w:r>
            <w:proofErr w:type="gramStart"/>
            <w:r w:rsidRPr="00986722">
              <w:rPr>
                <w:rFonts w:eastAsia="Times New Roman"/>
                <w:color w:val="000000"/>
              </w:rPr>
              <w:t>( 37.8</w:t>
            </w:r>
            <w:proofErr w:type="gramEnd"/>
            <w:r w:rsidRPr="00986722">
              <w:rPr>
                <w:rFonts w:eastAsia="Times New Roman"/>
                <w:color w:val="000000"/>
              </w:rPr>
              <w:t>%)</w:t>
            </w:r>
          </w:p>
        </w:tc>
        <w:tc>
          <w:tcPr>
            <w:tcW w:w="2140" w:type="dxa"/>
            <w:noWrap/>
            <w:hideMark/>
          </w:tcPr>
          <w:p w14:paraId="4A54622A" w14:textId="77777777" w:rsidR="000C6FB1" w:rsidRPr="00986722" w:rsidRDefault="000C6FB1" w:rsidP="00B9712C">
            <w:pPr>
              <w:jc w:val="center"/>
              <w:rPr>
                <w:rFonts w:eastAsia="Times New Roman"/>
                <w:color w:val="000000"/>
              </w:rPr>
            </w:pPr>
            <w:r w:rsidRPr="00986722">
              <w:rPr>
                <w:rFonts w:eastAsia="Times New Roman"/>
                <w:color w:val="000000"/>
              </w:rPr>
              <w:t xml:space="preserve">745 </w:t>
            </w:r>
            <w:proofErr w:type="gramStart"/>
            <w:r w:rsidRPr="00986722">
              <w:rPr>
                <w:rFonts w:eastAsia="Times New Roman"/>
                <w:color w:val="000000"/>
              </w:rPr>
              <w:t>( 37.1</w:t>
            </w:r>
            <w:proofErr w:type="gramEnd"/>
            <w:r w:rsidRPr="00986722">
              <w:rPr>
                <w:rFonts w:eastAsia="Times New Roman"/>
                <w:color w:val="000000"/>
              </w:rPr>
              <w:t>%)</w:t>
            </w:r>
          </w:p>
        </w:tc>
        <w:tc>
          <w:tcPr>
            <w:tcW w:w="2140" w:type="dxa"/>
            <w:noWrap/>
            <w:hideMark/>
          </w:tcPr>
          <w:p w14:paraId="2246BCDA" w14:textId="77777777" w:rsidR="000C6FB1" w:rsidRPr="00986722" w:rsidRDefault="000C6FB1" w:rsidP="00B9712C">
            <w:pPr>
              <w:jc w:val="center"/>
              <w:rPr>
                <w:rFonts w:eastAsia="Times New Roman"/>
                <w:color w:val="000000"/>
              </w:rPr>
            </w:pPr>
            <w:r w:rsidRPr="00986722">
              <w:rPr>
                <w:rFonts w:eastAsia="Times New Roman"/>
                <w:color w:val="000000"/>
              </w:rPr>
              <w:t xml:space="preserve">771 </w:t>
            </w:r>
            <w:proofErr w:type="gramStart"/>
            <w:r w:rsidRPr="00986722">
              <w:rPr>
                <w:rFonts w:eastAsia="Times New Roman"/>
                <w:color w:val="000000"/>
              </w:rPr>
              <w:t>( 38.4</w:t>
            </w:r>
            <w:proofErr w:type="gramEnd"/>
            <w:r w:rsidRPr="00986722">
              <w:rPr>
                <w:rFonts w:eastAsia="Times New Roman"/>
                <w:color w:val="000000"/>
              </w:rPr>
              <w:t>%)</w:t>
            </w:r>
          </w:p>
        </w:tc>
        <w:tc>
          <w:tcPr>
            <w:tcW w:w="960" w:type="dxa"/>
            <w:noWrap/>
            <w:hideMark/>
          </w:tcPr>
          <w:p w14:paraId="0EC7B7A3" w14:textId="77777777" w:rsidR="000C6FB1" w:rsidRPr="00986722" w:rsidRDefault="000C6FB1" w:rsidP="00B9712C">
            <w:pPr>
              <w:jc w:val="center"/>
              <w:rPr>
                <w:rFonts w:eastAsia="Times New Roman"/>
                <w:color w:val="000000"/>
              </w:rPr>
            </w:pPr>
            <w:r w:rsidRPr="00986722">
              <w:rPr>
                <w:rFonts w:eastAsia="Times New Roman"/>
                <w:color w:val="000000"/>
              </w:rPr>
              <w:t> </w:t>
            </w:r>
          </w:p>
        </w:tc>
      </w:tr>
    </w:tbl>
    <w:p w14:paraId="58A1FF1B" w14:textId="77777777" w:rsidR="00EF3085" w:rsidRDefault="00EF3085" w:rsidP="000C6FB1">
      <w:pPr>
        <w:rPr>
          <w:rFonts w:ascii="Arial" w:hAnsi="Arial" w:cs="Arial"/>
        </w:rPr>
      </w:pPr>
    </w:p>
    <w:p w14:paraId="641CD594" w14:textId="77777777" w:rsidR="00EF3085" w:rsidRDefault="00EF3085">
      <w:pPr>
        <w:rPr>
          <w:rFonts w:ascii="Arial" w:hAnsi="Arial" w:cs="Arial"/>
        </w:rPr>
      </w:pPr>
      <w:r>
        <w:rPr>
          <w:rFonts w:ascii="Arial" w:hAnsi="Arial" w:cs="Arial"/>
        </w:rPr>
        <w:br w:type="page"/>
      </w:r>
    </w:p>
    <w:p w14:paraId="046BD96C" w14:textId="59C48B32" w:rsidR="000C6FB1" w:rsidRPr="00CE39CF" w:rsidRDefault="000C6FB1" w:rsidP="000C6FB1">
      <w:pPr>
        <w:rPr>
          <w:rFonts w:ascii="Arial" w:hAnsi="Arial" w:cs="Arial"/>
        </w:rPr>
      </w:pPr>
      <w:r w:rsidRPr="00CE39CF">
        <w:rPr>
          <w:rFonts w:ascii="Arial" w:hAnsi="Arial" w:cs="Arial"/>
        </w:rPr>
        <w:lastRenderedPageBreak/>
        <w:t>Footnotes</w:t>
      </w:r>
      <w:r>
        <w:rPr>
          <w:rFonts w:ascii="Arial" w:hAnsi="Arial" w:cs="Arial"/>
        </w:rPr>
        <w:t xml:space="preserve"> to APPENDIX 4</w:t>
      </w:r>
    </w:p>
    <w:p w14:paraId="3880A9C6" w14:textId="77777777" w:rsidR="000C6FB1" w:rsidRPr="00CE39CF" w:rsidRDefault="000C6FB1" w:rsidP="000C6FB1">
      <w:pPr>
        <w:spacing w:after="0" w:line="480" w:lineRule="auto"/>
        <w:rPr>
          <w:rFonts w:ascii="Arial" w:hAnsi="Arial" w:cs="Arial"/>
        </w:rPr>
      </w:pPr>
      <w:r w:rsidRPr="00CE39CF">
        <w:rPr>
          <w:rFonts w:ascii="Arial" w:hAnsi="Arial" w:cs="Arial"/>
        </w:rPr>
        <w:t>1</w:t>
      </w:r>
      <w:r w:rsidRPr="00CE39CF">
        <w:rPr>
          <w:rFonts w:ascii="Arial" w:hAnsi="Arial" w:cs="Arial"/>
        </w:rPr>
        <w:tab/>
        <w:t>Chi square or t test, as appropriate. See text for further methodological details.</w:t>
      </w:r>
    </w:p>
    <w:p w14:paraId="3AFDEAD8" w14:textId="77777777" w:rsidR="000C6FB1" w:rsidRPr="00CE39CF" w:rsidRDefault="000C6FB1" w:rsidP="000C6FB1">
      <w:pPr>
        <w:spacing w:after="0" w:line="480" w:lineRule="auto"/>
        <w:ind w:left="720" w:hanging="720"/>
        <w:rPr>
          <w:rFonts w:ascii="Arial" w:hAnsi="Arial" w:cs="Arial"/>
        </w:rPr>
      </w:pPr>
      <w:r w:rsidRPr="00CE39CF">
        <w:rPr>
          <w:rFonts w:ascii="Arial" w:hAnsi="Arial" w:cs="Arial"/>
        </w:rPr>
        <w:t>2</w:t>
      </w:r>
      <w:r w:rsidRPr="00CE39CF">
        <w:rPr>
          <w:rFonts w:ascii="Arial" w:hAnsi="Arial" w:cs="Arial"/>
        </w:rPr>
        <w:tab/>
        <w:t>AMI order set is an evidence-based electronic checklist which guides physicians to order the most effective therapy by CPOE during the hospital admission process. In contrast, a la carte means that the clinician did not use the AMI-OS , but rather entered individual orders via CPOE</w:t>
      </w:r>
      <w:proofErr w:type="gramStart"/>
      <w:r w:rsidRPr="00CE39CF">
        <w:rPr>
          <w:rFonts w:ascii="Arial" w:hAnsi="Arial" w:cs="Arial"/>
        </w:rPr>
        <w:t xml:space="preserve">. </w:t>
      </w:r>
      <w:proofErr w:type="gramEnd"/>
      <w:r w:rsidRPr="00CE39CF">
        <w:rPr>
          <w:rFonts w:ascii="Arial" w:hAnsi="Arial" w:cs="Arial"/>
        </w:rPr>
        <w:t>See text for further details.</w:t>
      </w:r>
    </w:p>
    <w:p w14:paraId="3A27391C" w14:textId="77777777" w:rsidR="000C6FB1" w:rsidRPr="00CE39CF" w:rsidRDefault="000C6FB1" w:rsidP="000C6FB1">
      <w:pPr>
        <w:spacing w:after="0" w:line="480" w:lineRule="auto"/>
        <w:rPr>
          <w:rFonts w:ascii="Arial" w:hAnsi="Arial" w:cs="Arial"/>
        </w:rPr>
      </w:pPr>
      <w:r w:rsidRPr="00CE39CF">
        <w:rPr>
          <w:rFonts w:ascii="Arial" w:hAnsi="Arial" w:cs="Arial"/>
        </w:rPr>
        <w:t xml:space="preserve">3 </w:t>
      </w:r>
      <w:r w:rsidRPr="00CE39CF">
        <w:rPr>
          <w:rFonts w:ascii="Arial" w:hAnsi="Arial" w:cs="Arial"/>
        </w:rPr>
        <w:tab/>
        <w:t>Standard deviation.</w:t>
      </w:r>
    </w:p>
    <w:p w14:paraId="0DC6BC72" w14:textId="77777777" w:rsidR="000C6FB1" w:rsidRPr="00CE39CF" w:rsidRDefault="000C6FB1" w:rsidP="000C6FB1">
      <w:pPr>
        <w:spacing w:after="0" w:line="480" w:lineRule="auto"/>
        <w:rPr>
          <w:rFonts w:ascii="Arial" w:hAnsi="Arial" w:cs="Arial"/>
        </w:rPr>
      </w:pPr>
      <w:r w:rsidRPr="00CE39CF">
        <w:rPr>
          <w:rFonts w:ascii="Arial" w:hAnsi="Arial" w:cs="Arial"/>
        </w:rPr>
        <w:t>4</w:t>
      </w:r>
      <w:r w:rsidRPr="00CE39CF">
        <w:rPr>
          <w:rFonts w:ascii="Arial" w:hAnsi="Arial" w:cs="Arial"/>
        </w:rPr>
        <w:tab/>
        <w:t>ST-segment elevation myocardial infarction as evident by electrocardiogram. See text for details on ascertainment.</w:t>
      </w:r>
    </w:p>
    <w:p w14:paraId="1C3809A7" w14:textId="77777777" w:rsidR="000C6FB1" w:rsidRPr="00CE39CF" w:rsidRDefault="000C6FB1" w:rsidP="000C6FB1">
      <w:pPr>
        <w:spacing w:after="0" w:line="480" w:lineRule="auto"/>
        <w:rPr>
          <w:rFonts w:ascii="Arial" w:hAnsi="Arial" w:cs="Arial"/>
        </w:rPr>
      </w:pPr>
      <w:r w:rsidRPr="00CE39CF">
        <w:rPr>
          <w:rFonts w:ascii="Arial" w:hAnsi="Arial" w:cs="Arial"/>
        </w:rPr>
        <w:t>5</w:t>
      </w:r>
      <w:r w:rsidRPr="00CE39CF">
        <w:rPr>
          <w:rFonts w:ascii="Arial" w:hAnsi="Arial" w:cs="Arial"/>
        </w:rPr>
        <w:tab/>
        <w:t>See text and citation 31 for details on how this score was assigned.</w:t>
      </w:r>
    </w:p>
    <w:p w14:paraId="2CD713E6" w14:textId="77777777" w:rsidR="000C6FB1" w:rsidRPr="00CE39CF" w:rsidRDefault="000C6FB1" w:rsidP="000C6FB1">
      <w:pPr>
        <w:spacing w:after="0" w:line="480" w:lineRule="auto"/>
        <w:ind w:left="720" w:hanging="720"/>
        <w:rPr>
          <w:rFonts w:ascii="Arial" w:hAnsi="Arial" w:cs="Arial"/>
        </w:rPr>
      </w:pPr>
      <w:r w:rsidRPr="00CE39CF">
        <w:rPr>
          <w:rFonts w:ascii="Arial" w:hAnsi="Arial" w:cs="Arial"/>
        </w:rPr>
        <w:t>6</w:t>
      </w:r>
      <w:r w:rsidRPr="00CE39CF">
        <w:rPr>
          <w:rFonts w:ascii="Arial" w:hAnsi="Arial" w:cs="Arial"/>
        </w:rPr>
        <w:tab/>
      </w:r>
      <w:proofErr w:type="spellStart"/>
      <w:r w:rsidRPr="00CE39CF">
        <w:rPr>
          <w:rFonts w:ascii="Arial" w:hAnsi="Arial" w:cs="Arial"/>
        </w:rPr>
        <w:t>COmorbidity</w:t>
      </w:r>
      <w:proofErr w:type="spellEnd"/>
      <w:r w:rsidRPr="00CE39CF">
        <w:rPr>
          <w:rFonts w:ascii="Arial" w:hAnsi="Arial" w:cs="Arial"/>
        </w:rPr>
        <w:t xml:space="preserve"> Point Score, version 2</w:t>
      </w:r>
      <w:proofErr w:type="gramStart"/>
      <w:r w:rsidRPr="00CE39CF">
        <w:rPr>
          <w:rFonts w:ascii="Arial" w:hAnsi="Arial" w:cs="Arial"/>
        </w:rPr>
        <w:t xml:space="preserve">. </w:t>
      </w:r>
      <w:proofErr w:type="gramEnd"/>
      <w:r w:rsidRPr="00CE39CF">
        <w:rPr>
          <w:rFonts w:ascii="Arial" w:hAnsi="Arial" w:cs="Arial"/>
        </w:rPr>
        <w:t>The COPS2 is a longitudinal, diagnosis-based score assigned monthly that integrates all diagnoses incurred by a patient in the preceding 12 months. It is a continuous variable that can range between a minimum of zero and a theoretical maximum of 1,014, although &lt; 0.05% of Kaiser Permanente hospitalized patients have a COPS2 exceeding 241 and none have had a COPS2 &gt; 306. Increasing values of the COPS2 are associated with increasing mortality. See text and citations 20 and 27 for additional details on the COPS2.</w:t>
      </w:r>
    </w:p>
    <w:p w14:paraId="52233C4A" w14:textId="77777777" w:rsidR="000C6FB1" w:rsidRPr="00CE39CF" w:rsidRDefault="000C6FB1" w:rsidP="000C6FB1">
      <w:pPr>
        <w:spacing w:after="0" w:line="480" w:lineRule="auto"/>
        <w:ind w:left="720" w:hanging="720"/>
        <w:rPr>
          <w:rFonts w:ascii="Arial" w:hAnsi="Arial" w:cs="Arial"/>
        </w:rPr>
      </w:pPr>
      <w:r w:rsidRPr="00CE39CF">
        <w:rPr>
          <w:rFonts w:ascii="Arial" w:hAnsi="Arial" w:cs="Arial"/>
        </w:rPr>
        <w:t>7</w:t>
      </w:r>
      <w:r w:rsidRPr="00CE39CF">
        <w:rPr>
          <w:rFonts w:ascii="Arial" w:hAnsi="Arial" w:cs="Arial"/>
        </w:rPr>
        <w:tab/>
        <w:t xml:space="preserve">Laboratory-based Acute Physiology Score, version 2. The LAPS2 integrates results from vital signs, neurological status checks, and 15 laboratory tests in the 72 hours preceding hospitalization into a single continuous variable. Increasing degrees of physiologic derangement are reflected in a higher LAPS2, which can range between a minimum of zero and a theoretical maximum of 414, although &lt; 0.05% of Kaiser Permanente hospitalized patients have a LAPS2 exceeding 227 and none have had a LAPS2 &gt; 282. Increasing values of LAPS2 are associated with increasing mortality. See text and citations 20 and 27 for additional details on the LAPS2. </w:t>
      </w:r>
    </w:p>
    <w:p w14:paraId="2CCCC5A4" w14:textId="77777777" w:rsidR="000C6FB1" w:rsidRPr="00CE39CF" w:rsidRDefault="000C6FB1" w:rsidP="000C6FB1">
      <w:pPr>
        <w:spacing w:after="0" w:line="480" w:lineRule="auto"/>
        <w:ind w:left="720" w:hanging="720"/>
        <w:rPr>
          <w:rFonts w:ascii="Arial" w:hAnsi="Arial" w:cs="Arial"/>
        </w:rPr>
      </w:pPr>
      <w:r w:rsidRPr="00CE39CF">
        <w:rPr>
          <w:rFonts w:ascii="Arial" w:hAnsi="Arial" w:cs="Arial"/>
        </w:rPr>
        <w:lastRenderedPageBreak/>
        <w:t>8</w:t>
      </w:r>
      <w:r w:rsidRPr="00CE39CF">
        <w:rPr>
          <w:rFonts w:ascii="Arial" w:hAnsi="Arial" w:cs="Arial"/>
        </w:rPr>
        <w:tab/>
        <w:t>See text for details of specific therapies and how they were ascertained using the electronic medical record. ACE = angiotensin converting enzyme; ARB = angiotensin receptor blockers.</w:t>
      </w:r>
    </w:p>
    <w:p w14:paraId="46C6E77D" w14:textId="77777777" w:rsidR="000C6FB1" w:rsidRPr="00CE39CF" w:rsidRDefault="000C6FB1" w:rsidP="000C6FB1">
      <w:pPr>
        <w:spacing w:after="0" w:line="480" w:lineRule="auto"/>
        <w:ind w:left="720" w:hanging="720"/>
        <w:rPr>
          <w:rFonts w:ascii="Arial" w:hAnsi="Arial" w:cs="Arial"/>
        </w:rPr>
      </w:pPr>
      <w:r w:rsidRPr="00CE39CF">
        <w:rPr>
          <w:rFonts w:ascii="Arial" w:hAnsi="Arial" w:cs="Arial"/>
        </w:rPr>
        <w:t>9</w:t>
      </w:r>
      <w:r w:rsidRPr="00CE39CF">
        <w:rPr>
          <w:rFonts w:ascii="Arial" w:hAnsi="Arial" w:cs="Arial"/>
        </w:rPr>
        <w:tab/>
        <w:t>Percent mortality risk based on age, sex, diagnosis, COPS2, LAPS2, and care directive using a predictive model described in text and in citation 22.</w:t>
      </w:r>
    </w:p>
    <w:p w14:paraId="57AB881E" w14:textId="77777777" w:rsidR="000C6FB1" w:rsidRPr="00CE39CF" w:rsidRDefault="000C6FB1" w:rsidP="000C6FB1">
      <w:pPr>
        <w:spacing w:after="0" w:line="480" w:lineRule="auto"/>
        <w:rPr>
          <w:rFonts w:ascii="Arial" w:hAnsi="Arial" w:cs="Arial"/>
        </w:rPr>
      </w:pPr>
      <w:r w:rsidRPr="00CE39CF">
        <w:rPr>
          <w:rFonts w:ascii="Arial" w:hAnsi="Arial" w:cs="Arial"/>
        </w:rPr>
        <w:t>10</w:t>
      </w:r>
      <w:r w:rsidRPr="00CE39CF">
        <w:rPr>
          <w:rFonts w:ascii="Arial" w:hAnsi="Arial" w:cs="Arial"/>
        </w:rPr>
        <w:tab/>
        <w:t>See text for description of how end of life care directives are captured in the electronic medical record.</w:t>
      </w:r>
    </w:p>
    <w:p w14:paraId="6A91BB57" w14:textId="77777777" w:rsidR="000C6FB1" w:rsidRPr="00CE39CF" w:rsidRDefault="000C6FB1" w:rsidP="000C6FB1">
      <w:pPr>
        <w:spacing w:after="0" w:line="480" w:lineRule="auto"/>
        <w:ind w:left="720" w:hanging="720"/>
        <w:rPr>
          <w:rFonts w:ascii="Arial" w:hAnsi="Arial" w:cs="Arial"/>
        </w:rPr>
      </w:pPr>
      <w:r w:rsidRPr="00CE39CF">
        <w:rPr>
          <w:rFonts w:ascii="Arial" w:hAnsi="Arial" w:cs="Arial"/>
        </w:rPr>
        <w:t>11</w:t>
      </w:r>
      <w:r w:rsidRPr="00CE39CF">
        <w:rPr>
          <w:rFonts w:ascii="Arial" w:hAnsi="Arial" w:cs="Arial"/>
        </w:rPr>
        <w:tab/>
        <w:t xml:space="preserve">ICU = intensive care unit. </w:t>
      </w:r>
      <w:r w:rsidRPr="00CE39CF">
        <w:rPr>
          <w:rFonts w:ascii="Arial" w:hAnsi="Arial" w:cs="Arial"/>
          <w:i/>
          <w:iCs/>
        </w:rPr>
        <w:t>Direct admit</w:t>
      </w:r>
      <w:r w:rsidRPr="00CE39CF">
        <w:rPr>
          <w:rFonts w:ascii="Arial" w:hAnsi="Arial" w:cs="Arial"/>
        </w:rPr>
        <w:t xml:space="preserve"> means that the first hospital unit in which a patient stayed was the ICU; </w:t>
      </w:r>
      <w:r w:rsidRPr="00CE39CF">
        <w:rPr>
          <w:rFonts w:ascii="Arial" w:hAnsi="Arial" w:cs="Arial"/>
          <w:i/>
          <w:iCs/>
        </w:rPr>
        <w:t>transfer</w:t>
      </w:r>
      <w:r w:rsidRPr="00CE39CF">
        <w:rPr>
          <w:rFonts w:ascii="Arial" w:hAnsi="Arial" w:cs="Arial"/>
        </w:rPr>
        <w:t xml:space="preserve"> refers to those patients transferred to the ICU from another unit in the hospital</w:t>
      </w:r>
    </w:p>
    <w:p w14:paraId="11841902" w14:textId="642BC46E" w:rsidR="00EF3085" w:rsidRDefault="00EF3085">
      <w:pPr>
        <w:rPr>
          <w:rFonts w:ascii="Arial" w:hAnsi="Arial" w:cs="Arial"/>
        </w:rPr>
      </w:pPr>
      <w:r>
        <w:rPr>
          <w:rFonts w:ascii="Arial" w:hAnsi="Arial" w:cs="Arial"/>
        </w:rPr>
        <w:br w:type="page"/>
      </w:r>
    </w:p>
    <w:p w14:paraId="3B4F19FC" w14:textId="28B05551" w:rsidR="00EF3085" w:rsidRPr="00DC213C" w:rsidRDefault="00EF3085" w:rsidP="00EF3085">
      <w:pPr>
        <w:pStyle w:val="Header"/>
        <w:rPr>
          <w:b/>
        </w:rPr>
      </w:pPr>
      <w:r w:rsidRPr="00DC213C">
        <w:rPr>
          <w:b/>
        </w:rPr>
        <w:lastRenderedPageBreak/>
        <w:t>FIGURE: DISTRIBUTION OF PROPENSITY SCORES</w:t>
      </w:r>
    </w:p>
    <w:p w14:paraId="2B1F0213" w14:textId="77777777" w:rsidR="00EF3085" w:rsidRDefault="00EF3085" w:rsidP="00EF3085">
      <w:pPr>
        <w:pStyle w:val="Header"/>
      </w:pPr>
    </w:p>
    <w:p w14:paraId="76A0E602" w14:textId="77777777" w:rsidR="005B41F7" w:rsidRPr="00D05BC4" w:rsidRDefault="005B41F7" w:rsidP="005B41F7">
      <w:pPr>
        <w:rPr>
          <w:color w:val="000000"/>
        </w:rPr>
      </w:pPr>
      <w:r w:rsidRPr="00D05BC4">
        <w:rPr>
          <w:color w:val="000000"/>
        </w:rPr>
        <w:t>FIGURE 1:</w:t>
      </w:r>
    </w:p>
    <w:p w14:paraId="15A4C3DB" w14:textId="77777777" w:rsidR="005B41F7" w:rsidRDefault="005B41F7" w:rsidP="005B41F7">
      <w:pPr>
        <w:spacing w:line="480" w:lineRule="auto"/>
      </w:pPr>
      <w:r w:rsidRPr="00D05BC4">
        <w:rPr>
          <w:color w:val="000000"/>
        </w:rPr>
        <w:t xml:space="preserve">Distribution of propensity scores (see text for details of how these were assigned) based on use or non-use of the acute myocardial infarction order set. The </w:t>
      </w:r>
      <w:r w:rsidRPr="00D05BC4">
        <w:rPr>
          <w:b/>
          <w:i/>
          <w:color w:val="000000"/>
        </w:rPr>
        <w:t xml:space="preserve">x </w:t>
      </w:r>
      <w:r w:rsidRPr="00D05BC4">
        <w:rPr>
          <w:color w:val="000000"/>
        </w:rPr>
        <w:t xml:space="preserve">axis shows the propensity score range, while the </w:t>
      </w:r>
      <w:r w:rsidRPr="00D05BC4">
        <w:rPr>
          <w:b/>
          <w:i/>
          <w:color w:val="000000"/>
        </w:rPr>
        <w:t>y</w:t>
      </w:r>
      <w:r w:rsidRPr="00D05BC4">
        <w:rPr>
          <w:color w:val="000000"/>
        </w:rPr>
        <w:t xml:space="preserve"> axis shows the percent of patients within a given propensity score range. The distribution of scores for patients whose first set of orders employed the order set is shown on the top panel, while the bottom panel shows the distribution in patients in whom the first set of orders did not use the order set.</w:t>
      </w:r>
      <w:r>
        <w:rPr>
          <w:noProof/>
        </w:rPr>
        <w:lastRenderedPageBreak/>
        <w:drawing>
          <wp:inline distT="0" distB="0" distL="0" distR="0" wp14:anchorId="6CFA560A" wp14:editId="5AC3A149">
            <wp:extent cx="5486399" cy="2757488"/>
            <wp:effectExtent l="0" t="0" r="19685"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1E0F5DB1" wp14:editId="4E89FF8E">
            <wp:extent cx="5486399" cy="2757488"/>
            <wp:effectExtent l="0" t="0" r="19685"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A4BD8C" w14:textId="77777777" w:rsidR="00EF3085" w:rsidRDefault="00EF3085" w:rsidP="00EF3085">
      <w:pPr>
        <w:pStyle w:val="Header"/>
      </w:pPr>
    </w:p>
    <w:p w14:paraId="2724F390" w14:textId="77777777" w:rsidR="004536F0" w:rsidRDefault="004536F0" w:rsidP="00EF3085">
      <w:pPr>
        <w:pStyle w:val="Header"/>
        <w:rPr>
          <w:b/>
        </w:rPr>
      </w:pPr>
    </w:p>
    <w:p w14:paraId="5F205C7E" w14:textId="3E5F63F5" w:rsidR="00EF3085" w:rsidRPr="00DC213C" w:rsidRDefault="00EF3085" w:rsidP="00EF3085">
      <w:pPr>
        <w:pStyle w:val="Header"/>
        <w:rPr>
          <w:b/>
        </w:rPr>
      </w:pPr>
      <w:r w:rsidRPr="00DC213C">
        <w:rPr>
          <w:b/>
        </w:rPr>
        <w:lastRenderedPageBreak/>
        <w:t>APPENDIX 5: RELATIVE RISK OF PROCESS OR OUTCOME FOR PATIENTS RECEIVING AMI-OS</w:t>
      </w:r>
    </w:p>
    <w:p w14:paraId="54B1DB51" w14:textId="77777777" w:rsidR="00EF3085" w:rsidRDefault="00EF3085" w:rsidP="00EF3085">
      <w:pPr>
        <w:pStyle w:val="Header"/>
      </w:pPr>
    </w:p>
    <w:p w14:paraId="13F2F9CC" w14:textId="55242134" w:rsidR="00DC213C" w:rsidRPr="00DC213C" w:rsidRDefault="00DC213C" w:rsidP="004536F0">
      <w:pPr>
        <w:pStyle w:val="NoSpacing"/>
        <w:rPr>
          <w:rFonts w:ascii="Arial" w:hAnsi="Arial" w:cs="Arial"/>
        </w:rPr>
      </w:pPr>
      <w:r>
        <w:rPr>
          <w:rFonts w:ascii="Arial" w:hAnsi="Arial" w:cs="Arial"/>
        </w:rPr>
        <w:t xml:space="preserve">The table below show </w:t>
      </w:r>
      <w:r w:rsidRPr="00DC213C">
        <w:rPr>
          <w:rFonts w:ascii="Arial" w:hAnsi="Arial" w:cs="Arial"/>
        </w:rPr>
        <w:t xml:space="preserve">outcomes </w:t>
      </w:r>
      <w:r>
        <w:rPr>
          <w:rFonts w:ascii="Arial" w:hAnsi="Arial" w:cs="Arial"/>
        </w:rPr>
        <w:t xml:space="preserve">other than inpatient death </w:t>
      </w:r>
      <w:r w:rsidRPr="00DC213C">
        <w:rPr>
          <w:rFonts w:ascii="Arial" w:hAnsi="Arial" w:cs="Arial"/>
        </w:rPr>
        <w:t>(30-day mortality, LOS, and readmission) and their robustness under different statistical approaches</w:t>
      </w:r>
      <w:proofErr w:type="gramStart"/>
      <w:r w:rsidRPr="00DC213C">
        <w:rPr>
          <w:rFonts w:ascii="Arial" w:hAnsi="Arial" w:cs="Arial"/>
        </w:rPr>
        <w:t xml:space="preserve">. </w:t>
      </w:r>
      <w:proofErr w:type="gramEnd"/>
      <w:r w:rsidRPr="00DC213C">
        <w:rPr>
          <w:rFonts w:ascii="Arial" w:hAnsi="Arial" w:cs="Arial"/>
        </w:rPr>
        <w:t>The table shows the relationship between AMI-OS use and evidence-based therapies and outcomes of care based on different statistical methods. Use of the AMI-OS was strongly associated with both receiving individual therapies as well as receiving multiple therapies. The table also shows the impact of the AMI-OS on mortality and rehospitalization using the two different propensity score approaches (inverse probability weighting and matched analyses) with and without incorporation of the 5 therapies in the risk adjustment. As with the logistic regression on inpatient mortality analysis above, the analyses without the therapies shows that the</w:t>
      </w:r>
      <w:r w:rsidRPr="00DC213C">
        <w:rPr>
          <w:rFonts w:ascii="Arial" w:hAnsi="Arial" w:cs="Arial"/>
          <w:b/>
          <w:i/>
        </w:rPr>
        <w:t xml:space="preserve"> </w:t>
      </w:r>
      <w:r w:rsidRPr="00DC213C">
        <w:rPr>
          <w:rFonts w:ascii="Arial" w:hAnsi="Arial" w:cs="Arial"/>
        </w:rPr>
        <w:t>use of the AMI-OS was significantly protective with respect to mortality but not significant with respect to total hospital LOS or rehospitalization</w:t>
      </w:r>
      <w:proofErr w:type="gramStart"/>
      <w:r w:rsidRPr="00DC213C">
        <w:rPr>
          <w:rFonts w:ascii="Arial" w:hAnsi="Arial" w:cs="Arial"/>
        </w:rPr>
        <w:t xml:space="preserve">. </w:t>
      </w:r>
      <w:proofErr w:type="gramEnd"/>
      <w:r w:rsidRPr="00DC213C">
        <w:rPr>
          <w:rFonts w:ascii="Arial" w:hAnsi="Arial" w:cs="Arial"/>
        </w:rPr>
        <w:t>With respect to mortality, the magnitude of this protective effect decreased after multivariate adjustment, and lost statistical significance when the 5 process variables were incorporated into the risk adjustment mode. For example, with respect to inpatient mortality, the unadjusted relative risk for use of the AMI-OS was 0.54 (95% CI 0.43-0.68), which was lower than that obtained using inverse probability weighting (0.70, 95% CI 0.55-0.87) or propensity risk score matching (0.69, 95% CI 0.54-0.89), and lost statistical significance when the process variables were included.</w:t>
      </w:r>
    </w:p>
    <w:p w14:paraId="7FDBC8DC" w14:textId="77777777" w:rsidR="00DC213C" w:rsidRDefault="00DC213C" w:rsidP="00EF3085">
      <w:pPr>
        <w:pStyle w:val="Header"/>
      </w:pPr>
    </w:p>
    <w:p w14:paraId="6BF5D758" w14:textId="7923F905" w:rsidR="004536F0" w:rsidRPr="00C53E86" w:rsidRDefault="004536F0" w:rsidP="004536F0">
      <w:pPr>
        <w:pStyle w:val="NoSpacing"/>
        <w:rPr>
          <w:rFonts w:cs="Arial"/>
          <w:b/>
          <w:color w:val="000000"/>
          <w:sz w:val="24"/>
          <w:szCs w:val="24"/>
        </w:rPr>
      </w:pPr>
      <w:r w:rsidRPr="00C53E86">
        <w:rPr>
          <w:rFonts w:cs="Arial"/>
          <w:b/>
          <w:color w:val="000000"/>
          <w:sz w:val="24"/>
          <w:szCs w:val="24"/>
        </w:rPr>
        <w:t xml:space="preserve">Adjusted Odds Ratio </w:t>
      </w:r>
      <w:r>
        <w:rPr>
          <w:rFonts w:cs="Arial"/>
          <w:b/>
          <w:color w:val="000000"/>
          <w:sz w:val="24"/>
          <w:szCs w:val="24"/>
        </w:rPr>
        <w:t>o</w:t>
      </w:r>
      <w:r w:rsidRPr="00C53E86">
        <w:rPr>
          <w:rFonts w:cs="Arial"/>
          <w:b/>
          <w:color w:val="000000"/>
          <w:sz w:val="24"/>
          <w:szCs w:val="24"/>
        </w:rPr>
        <w:t xml:space="preserve">r Mean Length </w:t>
      </w:r>
      <w:r>
        <w:rPr>
          <w:rFonts w:cs="Arial"/>
          <w:b/>
          <w:color w:val="000000"/>
          <w:sz w:val="24"/>
          <w:szCs w:val="24"/>
        </w:rPr>
        <w:t>o</w:t>
      </w:r>
      <w:r w:rsidRPr="00C53E86">
        <w:rPr>
          <w:rFonts w:cs="Arial"/>
          <w:b/>
          <w:color w:val="000000"/>
          <w:sz w:val="24"/>
          <w:szCs w:val="24"/>
        </w:rPr>
        <w:t xml:space="preserve">f Stay Ratio </w:t>
      </w:r>
      <w:r>
        <w:rPr>
          <w:rFonts w:cs="Arial"/>
          <w:b/>
          <w:color w:val="000000"/>
          <w:sz w:val="24"/>
          <w:szCs w:val="24"/>
        </w:rPr>
        <w:t>i</w:t>
      </w:r>
      <w:r w:rsidRPr="00C53E86">
        <w:rPr>
          <w:rFonts w:cs="Arial"/>
          <w:b/>
          <w:color w:val="000000"/>
          <w:sz w:val="24"/>
          <w:szCs w:val="24"/>
        </w:rPr>
        <w:t xml:space="preserve">n Study Patients – Patients </w:t>
      </w:r>
      <w:proofErr w:type="gramStart"/>
      <w:r w:rsidRPr="00C53E86">
        <w:rPr>
          <w:rFonts w:cs="Arial"/>
          <w:b/>
          <w:color w:val="000000"/>
          <w:sz w:val="24"/>
          <w:szCs w:val="24"/>
        </w:rPr>
        <w:t>With</w:t>
      </w:r>
      <w:proofErr w:type="gramEnd"/>
      <w:r w:rsidRPr="00C53E86">
        <w:rPr>
          <w:rFonts w:cs="Arial"/>
          <w:b/>
          <w:color w:val="000000"/>
          <w:sz w:val="24"/>
          <w:szCs w:val="24"/>
        </w:rPr>
        <w:t xml:space="preserve"> ST</w:t>
      </w:r>
      <w:r>
        <w:rPr>
          <w:rFonts w:cs="Arial"/>
          <w:b/>
          <w:color w:val="000000"/>
          <w:sz w:val="24"/>
          <w:szCs w:val="24"/>
        </w:rPr>
        <w:t>-</w:t>
      </w:r>
      <w:r w:rsidRPr="00C53E86">
        <w:rPr>
          <w:rFonts w:cs="Arial"/>
          <w:b/>
          <w:color w:val="000000"/>
          <w:sz w:val="24"/>
          <w:szCs w:val="24"/>
        </w:rPr>
        <w:t>Segment Elevation MI Excluded</w:t>
      </w:r>
    </w:p>
    <w:p w14:paraId="515341CE" w14:textId="77777777" w:rsidR="004536F0" w:rsidRPr="00C53E86" w:rsidRDefault="004536F0" w:rsidP="004536F0">
      <w:pPr>
        <w:pStyle w:val="NoSpacing"/>
        <w:ind w:left="270"/>
        <w:rPr>
          <w:rFonts w:cs="Times New Roman"/>
          <w:b/>
          <w:color w:val="000000"/>
          <w:sz w:val="24"/>
          <w:szCs w:val="24"/>
        </w:rPr>
      </w:pPr>
      <w:r w:rsidRPr="00C53E86">
        <w:rPr>
          <w:rFonts w:cs="Times New Roman"/>
          <w:b/>
          <w:color w:val="000000"/>
          <w:sz w:val="24"/>
          <w:szCs w:val="24"/>
        </w:rPr>
        <w:t xml:space="preserve"> </w:t>
      </w:r>
    </w:p>
    <w:tbl>
      <w:tblPr>
        <w:tblStyle w:val="TableGrid"/>
        <w:tblW w:w="11895" w:type="dxa"/>
        <w:tblLook w:val="04A0" w:firstRow="1" w:lastRow="0" w:firstColumn="1" w:lastColumn="0" w:noHBand="0" w:noVBand="1"/>
      </w:tblPr>
      <w:tblGrid>
        <w:gridCol w:w="2860"/>
        <w:gridCol w:w="2100"/>
        <w:gridCol w:w="2435"/>
        <w:gridCol w:w="2245"/>
        <w:gridCol w:w="2255"/>
      </w:tblGrid>
      <w:tr w:rsidR="004536F0" w:rsidRPr="00C53E86" w14:paraId="0D3448AC" w14:textId="77777777" w:rsidTr="004536F0">
        <w:trPr>
          <w:trHeight w:val="315"/>
        </w:trPr>
        <w:tc>
          <w:tcPr>
            <w:tcW w:w="2860" w:type="dxa"/>
            <w:hideMark/>
          </w:tcPr>
          <w:p w14:paraId="021058D3" w14:textId="77777777" w:rsidR="004536F0" w:rsidRPr="00C53E86" w:rsidRDefault="004536F0" w:rsidP="00E17392">
            <w:pPr>
              <w:rPr>
                <w:b/>
                <w:bCs/>
                <w:color w:val="000000"/>
                <w:sz w:val="24"/>
                <w:szCs w:val="24"/>
              </w:rPr>
            </w:pPr>
            <w:r w:rsidRPr="00C53E86">
              <w:rPr>
                <w:b/>
                <w:bCs/>
                <w:color w:val="000000"/>
                <w:sz w:val="24"/>
                <w:szCs w:val="24"/>
              </w:rPr>
              <w:t>Outcome</w:t>
            </w:r>
          </w:p>
        </w:tc>
        <w:tc>
          <w:tcPr>
            <w:tcW w:w="2100" w:type="dxa"/>
            <w:noWrap/>
            <w:hideMark/>
          </w:tcPr>
          <w:p w14:paraId="482C5A16" w14:textId="5D5155D5" w:rsidR="004536F0" w:rsidRPr="00C53E86" w:rsidRDefault="004536F0" w:rsidP="00E17392">
            <w:pPr>
              <w:jc w:val="center"/>
              <w:rPr>
                <w:b/>
                <w:bCs/>
                <w:color w:val="000000"/>
                <w:sz w:val="24"/>
                <w:szCs w:val="24"/>
              </w:rPr>
            </w:pPr>
            <w:r w:rsidRPr="00C53E86">
              <w:rPr>
                <w:b/>
                <w:bCs/>
                <w:color w:val="000000"/>
                <w:sz w:val="24"/>
                <w:szCs w:val="24"/>
              </w:rPr>
              <w:t xml:space="preserve">Order </w:t>
            </w:r>
            <w:r w:rsidRPr="00C53E86">
              <w:rPr>
                <w:b/>
                <w:bCs/>
                <w:color w:val="000000"/>
                <w:sz w:val="24"/>
                <w:szCs w:val="24"/>
              </w:rPr>
              <w:t>Set</w:t>
            </w:r>
            <w:r w:rsidRPr="00C53E86">
              <w:rPr>
                <w:b/>
                <w:bCs/>
                <w:color w:val="000000"/>
                <w:sz w:val="24"/>
                <w:szCs w:val="24"/>
                <w:vertAlign w:val="superscript"/>
              </w:rPr>
              <w:t>1</w:t>
            </w:r>
            <w:r w:rsidRPr="00C53E86">
              <w:rPr>
                <w:b/>
                <w:bCs/>
                <w:color w:val="000000"/>
                <w:sz w:val="24"/>
                <w:szCs w:val="24"/>
              </w:rPr>
              <w:t xml:space="preserve"> </w:t>
            </w:r>
          </w:p>
        </w:tc>
        <w:tc>
          <w:tcPr>
            <w:tcW w:w="2435" w:type="dxa"/>
            <w:hideMark/>
          </w:tcPr>
          <w:p w14:paraId="6888EA1D" w14:textId="77777777" w:rsidR="004536F0" w:rsidRPr="00C53E86" w:rsidRDefault="004536F0" w:rsidP="00E17392">
            <w:pPr>
              <w:jc w:val="center"/>
              <w:rPr>
                <w:b/>
                <w:bCs/>
                <w:color w:val="000000"/>
                <w:sz w:val="24"/>
                <w:szCs w:val="24"/>
              </w:rPr>
            </w:pPr>
            <w:r w:rsidRPr="00C53E86">
              <w:rPr>
                <w:b/>
                <w:bCs/>
                <w:color w:val="000000"/>
                <w:sz w:val="24"/>
                <w:szCs w:val="24"/>
              </w:rPr>
              <w:t>Three Therapies</w:t>
            </w:r>
            <w:r w:rsidRPr="00C53E86">
              <w:rPr>
                <w:b/>
                <w:bCs/>
                <w:color w:val="000000"/>
                <w:sz w:val="24"/>
                <w:szCs w:val="24"/>
                <w:vertAlign w:val="superscript"/>
              </w:rPr>
              <w:t>2</w:t>
            </w:r>
          </w:p>
        </w:tc>
        <w:tc>
          <w:tcPr>
            <w:tcW w:w="2245" w:type="dxa"/>
            <w:hideMark/>
          </w:tcPr>
          <w:p w14:paraId="678A4F7F" w14:textId="77777777" w:rsidR="004536F0" w:rsidRPr="00C53E86" w:rsidRDefault="004536F0" w:rsidP="00E17392">
            <w:pPr>
              <w:jc w:val="center"/>
              <w:rPr>
                <w:b/>
                <w:bCs/>
                <w:color w:val="000000"/>
                <w:sz w:val="24"/>
                <w:szCs w:val="24"/>
              </w:rPr>
            </w:pPr>
            <w:r w:rsidRPr="00C53E86">
              <w:rPr>
                <w:b/>
                <w:bCs/>
                <w:color w:val="000000"/>
                <w:sz w:val="24"/>
                <w:szCs w:val="24"/>
              </w:rPr>
              <w:t>Four Therapies</w:t>
            </w:r>
            <w:r w:rsidRPr="00C53E86">
              <w:rPr>
                <w:b/>
                <w:bCs/>
                <w:color w:val="000000"/>
                <w:sz w:val="24"/>
                <w:szCs w:val="24"/>
                <w:vertAlign w:val="superscript"/>
              </w:rPr>
              <w:t>2</w:t>
            </w:r>
          </w:p>
        </w:tc>
        <w:tc>
          <w:tcPr>
            <w:tcW w:w="2255" w:type="dxa"/>
            <w:hideMark/>
          </w:tcPr>
          <w:p w14:paraId="4018A9BB" w14:textId="77777777" w:rsidR="004536F0" w:rsidRPr="00C53E86" w:rsidRDefault="004536F0" w:rsidP="00E17392">
            <w:pPr>
              <w:jc w:val="center"/>
              <w:rPr>
                <w:b/>
                <w:bCs/>
                <w:color w:val="000000"/>
                <w:sz w:val="24"/>
                <w:szCs w:val="24"/>
              </w:rPr>
            </w:pPr>
            <w:r w:rsidRPr="00C53E86">
              <w:rPr>
                <w:b/>
                <w:bCs/>
                <w:color w:val="000000"/>
                <w:sz w:val="24"/>
                <w:szCs w:val="24"/>
              </w:rPr>
              <w:t>Five Therapies</w:t>
            </w:r>
            <w:r w:rsidRPr="00C53E86">
              <w:rPr>
                <w:b/>
                <w:bCs/>
                <w:color w:val="000000"/>
                <w:sz w:val="24"/>
                <w:szCs w:val="24"/>
                <w:vertAlign w:val="superscript"/>
              </w:rPr>
              <w:t>2</w:t>
            </w:r>
          </w:p>
        </w:tc>
      </w:tr>
      <w:tr w:rsidR="004536F0" w:rsidRPr="00C53E86" w14:paraId="5EAC3CA6" w14:textId="77777777" w:rsidTr="004536F0">
        <w:trPr>
          <w:trHeight w:val="315"/>
        </w:trPr>
        <w:tc>
          <w:tcPr>
            <w:tcW w:w="11895" w:type="dxa"/>
            <w:gridSpan w:val="5"/>
            <w:noWrap/>
            <w:hideMark/>
          </w:tcPr>
          <w:p w14:paraId="29D4AAE1" w14:textId="77777777" w:rsidR="004536F0" w:rsidRPr="00C53E86" w:rsidRDefault="004536F0" w:rsidP="00E17392">
            <w:pPr>
              <w:jc w:val="center"/>
              <w:rPr>
                <w:color w:val="000000"/>
                <w:sz w:val="24"/>
                <w:szCs w:val="24"/>
              </w:rPr>
            </w:pPr>
            <w:r w:rsidRPr="00C53E86">
              <w:rPr>
                <w:color w:val="000000"/>
                <w:sz w:val="24"/>
                <w:szCs w:val="24"/>
              </w:rPr>
              <w:t>Average Treatment Effect (ATE)</w:t>
            </w:r>
            <w:r w:rsidRPr="00C53E86">
              <w:rPr>
                <w:color w:val="000000"/>
                <w:sz w:val="24"/>
                <w:szCs w:val="24"/>
                <w:vertAlign w:val="superscript"/>
              </w:rPr>
              <w:t>3</w:t>
            </w:r>
          </w:p>
        </w:tc>
      </w:tr>
      <w:tr w:rsidR="004536F0" w:rsidRPr="00C53E86" w14:paraId="2BA5C270" w14:textId="77777777" w:rsidTr="004536F0">
        <w:trPr>
          <w:trHeight w:val="315"/>
        </w:trPr>
        <w:tc>
          <w:tcPr>
            <w:tcW w:w="2860" w:type="dxa"/>
            <w:noWrap/>
            <w:hideMark/>
          </w:tcPr>
          <w:p w14:paraId="109F8E04" w14:textId="77777777" w:rsidR="004536F0" w:rsidRPr="00C53E86" w:rsidRDefault="004536F0" w:rsidP="00E17392">
            <w:pPr>
              <w:rPr>
                <w:color w:val="000000"/>
                <w:sz w:val="24"/>
                <w:szCs w:val="24"/>
              </w:rPr>
            </w:pPr>
            <w:r w:rsidRPr="00C53E86">
              <w:rPr>
                <w:color w:val="000000"/>
                <w:sz w:val="24"/>
                <w:szCs w:val="24"/>
              </w:rPr>
              <w:t>Inpatient Mortality</w:t>
            </w:r>
          </w:p>
        </w:tc>
        <w:tc>
          <w:tcPr>
            <w:tcW w:w="2100" w:type="dxa"/>
            <w:noWrap/>
            <w:hideMark/>
          </w:tcPr>
          <w:p w14:paraId="5417DD88" w14:textId="77777777" w:rsidR="004536F0" w:rsidRPr="00C53E86" w:rsidRDefault="004536F0" w:rsidP="00E17392">
            <w:pPr>
              <w:jc w:val="center"/>
              <w:rPr>
                <w:color w:val="000000"/>
                <w:sz w:val="24"/>
                <w:szCs w:val="24"/>
              </w:rPr>
            </w:pPr>
            <w:r w:rsidRPr="00C53E86">
              <w:rPr>
                <w:color w:val="000000"/>
                <w:sz w:val="24"/>
                <w:szCs w:val="24"/>
              </w:rPr>
              <w:t>0.63 (0.48, 0.84)</w:t>
            </w:r>
          </w:p>
        </w:tc>
        <w:tc>
          <w:tcPr>
            <w:tcW w:w="2435" w:type="dxa"/>
            <w:noWrap/>
          </w:tcPr>
          <w:p w14:paraId="329A9F72" w14:textId="77777777" w:rsidR="004536F0" w:rsidRPr="00C53E86" w:rsidRDefault="004536F0" w:rsidP="00E17392">
            <w:pPr>
              <w:jc w:val="center"/>
              <w:rPr>
                <w:color w:val="000000"/>
                <w:sz w:val="24"/>
                <w:szCs w:val="24"/>
              </w:rPr>
            </w:pPr>
            <w:r w:rsidRPr="00C53E86">
              <w:rPr>
                <w:color w:val="000000"/>
                <w:sz w:val="24"/>
                <w:szCs w:val="24"/>
              </w:rPr>
              <w:t>0.58 (0.37, 0.88)</w:t>
            </w:r>
          </w:p>
        </w:tc>
        <w:tc>
          <w:tcPr>
            <w:tcW w:w="2245" w:type="dxa"/>
            <w:noWrap/>
          </w:tcPr>
          <w:p w14:paraId="70E3A79C" w14:textId="77777777" w:rsidR="004536F0" w:rsidRPr="00C53E86" w:rsidRDefault="004536F0" w:rsidP="00E17392">
            <w:pPr>
              <w:jc w:val="center"/>
              <w:rPr>
                <w:color w:val="000000"/>
                <w:sz w:val="24"/>
                <w:szCs w:val="24"/>
              </w:rPr>
            </w:pPr>
            <w:r w:rsidRPr="00C53E86">
              <w:rPr>
                <w:color w:val="000000"/>
                <w:sz w:val="24"/>
                <w:szCs w:val="24"/>
              </w:rPr>
              <w:t>0.35 (0.23, 0.52)</w:t>
            </w:r>
          </w:p>
        </w:tc>
        <w:tc>
          <w:tcPr>
            <w:tcW w:w="2255" w:type="dxa"/>
            <w:noWrap/>
          </w:tcPr>
          <w:p w14:paraId="68A20BA6" w14:textId="77777777" w:rsidR="004536F0" w:rsidRPr="00C53E86" w:rsidRDefault="004536F0" w:rsidP="00E17392">
            <w:pPr>
              <w:jc w:val="center"/>
              <w:rPr>
                <w:color w:val="000000"/>
                <w:sz w:val="24"/>
                <w:szCs w:val="24"/>
              </w:rPr>
            </w:pPr>
            <w:r w:rsidRPr="00C53E86">
              <w:rPr>
                <w:color w:val="000000"/>
                <w:sz w:val="24"/>
                <w:szCs w:val="24"/>
              </w:rPr>
              <w:t>0.18 (0.11, 0.28)</w:t>
            </w:r>
          </w:p>
        </w:tc>
      </w:tr>
      <w:tr w:rsidR="004536F0" w:rsidRPr="00C53E86" w14:paraId="5FB64003" w14:textId="77777777" w:rsidTr="004536F0">
        <w:trPr>
          <w:trHeight w:val="315"/>
        </w:trPr>
        <w:tc>
          <w:tcPr>
            <w:tcW w:w="2860" w:type="dxa"/>
            <w:noWrap/>
            <w:hideMark/>
          </w:tcPr>
          <w:p w14:paraId="11210214" w14:textId="77777777" w:rsidR="004536F0" w:rsidRPr="00C53E86" w:rsidRDefault="004536F0" w:rsidP="00E17392">
            <w:pPr>
              <w:rPr>
                <w:color w:val="000000"/>
                <w:sz w:val="24"/>
                <w:szCs w:val="24"/>
              </w:rPr>
            </w:pPr>
            <w:r w:rsidRPr="00C53E86">
              <w:rPr>
                <w:color w:val="000000"/>
                <w:sz w:val="24"/>
                <w:szCs w:val="24"/>
              </w:rPr>
              <w:t>30-Day Mortality</w:t>
            </w:r>
          </w:p>
        </w:tc>
        <w:tc>
          <w:tcPr>
            <w:tcW w:w="2100" w:type="dxa"/>
            <w:noWrap/>
            <w:hideMark/>
          </w:tcPr>
          <w:p w14:paraId="3A59865E" w14:textId="77777777" w:rsidR="004536F0" w:rsidRPr="00C53E86" w:rsidRDefault="004536F0" w:rsidP="00E17392">
            <w:pPr>
              <w:jc w:val="center"/>
              <w:rPr>
                <w:color w:val="000000"/>
                <w:sz w:val="24"/>
                <w:szCs w:val="24"/>
              </w:rPr>
            </w:pPr>
            <w:r w:rsidRPr="00C53E86">
              <w:rPr>
                <w:color w:val="000000"/>
                <w:sz w:val="24"/>
                <w:szCs w:val="24"/>
              </w:rPr>
              <w:t>0.70 (0.55, 0.88)</w:t>
            </w:r>
          </w:p>
        </w:tc>
        <w:tc>
          <w:tcPr>
            <w:tcW w:w="2435" w:type="dxa"/>
            <w:noWrap/>
          </w:tcPr>
          <w:p w14:paraId="17849A78" w14:textId="77777777" w:rsidR="004536F0" w:rsidRPr="00C53E86" w:rsidRDefault="004536F0" w:rsidP="00E17392">
            <w:pPr>
              <w:jc w:val="center"/>
              <w:rPr>
                <w:color w:val="000000"/>
                <w:sz w:val="24"/>
                <w:szCs w:val="24"/>
              </w:rPr>
            </w:pPr>
            <w:r w:rsidRPr="00C53E86">
              <w:rPr>
                <w:color w:val="000000"/>
                <w:sz w:val="24"/>
                <w:szCs w:val="24"/>
              </w:rPr>
              <w:t>0.65 (0.45, 0.95)</w:t>
            </w:r>
          </w:p>
        </w:tc>
        <w:tc>
          <w:tcPr>
            <w:tcW w:w="2245" w:type="dxa"/>
            <w:noWrap/>
          </w:tcPr>
          <w:p w14:paraId="5526AAA9" w14:textId="77777777" w:rsidR="004536F0" w:rsidRPr="00C53E86" w:rsidRDefault="004536F0" w:rsidP="00E17392">
            <w:pPr>
              <w:jc w:val="center"/>
              <w:rPr>
                <w:color w:val="000000"/>
                <w:sz w:val="24"/>
                <w:szCs w:val="24"/>
              </w:rPr>
            </w:pPr>
            <w:r w:rsidRPr="00C53E86">
              <w:rPr>
                <w:color w:val="000000"/>
                <w:sz w:val="24"/>
                <w:szCs w:val="24"/>
              </w:rPr>
              <w:t>0.36 (0.25, 0.52)</w:t>
            </w:r>
          </w:p>
        </w:tc>
        <w:tc>
          <w:tcPr>
            <w:tcW w:w="2255" w:type="dxa"/>
            <w:noWrap/>
          </w:tcPr>
          <w:p w14:paraId="476DF0A8" w14:textId="77777777" w:rsidR="004536F0" w:rsidRPr="00C53E86" w:rsidRDefault="004536F0" w:rsidP="00E17392">
            <w:pPr>
              <w:jc w:val="center"/>
              <w:rPr>
                <w:color w:val="000000"/>
                <w:sz w:val="24"/>
                <w:szCs w:val="24"/>
              </w:rPr>
            </w:pPr>
            <w:r w:rsidRPr="00C53E86">
              <w:rPr>
                <w:color w:val="000000"/>
                <w:sz w:val="24"/>
                <w:szCs w:val="24"/>
              </w:rPr>
              <w:t>0.23 (0.15, 0.34)</w:t>
            </w:r>
          </w:p>
        </w:tc>
      </w:tr>
      <w:tr w:rsidR="004536F0" w:rsidRPr="00C53E86" w14:paraId="723E7724" w14:textId="77777777" w:rsidTr="004536F0">
        <w:trPr>
          <w:trHeight w:val="315"/>
        </w:trPr>
        <w:tc>
          <w:tcPr>
            <w:tcW w:w="2860" w:type="dxa"/>
            <w:noWrap/>
            <w:hideMark/>
          </w:tcPr>
          <w:p w14:paraId="6DC28AE7" w14:textId="77777777" w:rsidR="004536F0" w:rsidRPr="00C53E86" w:rsidRDefault="004536F0" w:rsidP="00E17392">
            <w:pPr>
              <w:rPr>
                <w:color w:val="000000"/>
                <w:sz w:val="24"/>
                <w:szCs w:val="24"/>
              </w:rPr>
            </w:pPr>
            <w:r w:rsidRPr="00C53E86">
              <w:rPr>
                <w:color w:val="000000"/>
                <w:sz w:val="24"/>
                <w:szCs w:val="24"/>
              </w:rPr>
              <w:t>Readmission</w:t>
            </w:r>
          </w:p>
        </w:tc>
        <w:tc>
          <w:tcPr>
            <w:tcW w:w="2100" w:type="dxa"/>
            <w:noWrap/>
            <w:hideMark/>
          </w:tcPr>
          <w:p w14:paraId="5B57BBA0" w14:textId="77777777" w:rsidR="004536F0" w:rsidRPr="00C53E86" w:rsidRDefault="004536F0" w:rsidP="00E17392">
            <w:pPr>
              <w:jc w:val="center"/>
              <w:rPr>
                <w:color w:val="000000"/>
                <w:sz w:val="24"/>
                <w:szCs w:val="24"/>
              </w:rPr>
            </w:pPr>
            <w:r w:rsidRPr="00C53E86">
              <w:rPr>
                <w:color w:val="000000"/>
                <w:sz w:val="24"/>
                <w:szCs w:val="24"/>
              </w:rPr>
              <w:t>0.99 (0.85, 1.14)</w:t>
            </w:r>
          </w:p>
        </w:tc>
        <w:tc>
          <w:tcPr>
            <w:tcW w:w="2435" w:type="dxa"/>
            <w:noWrap/>
          </w:tcPr>
          <w:p w14:paraId="4FC5BEC4" w14:textId="77777777" w:rsidR="004536F0" w:rsidRPr="00C53E86" w:rsidRDefault="004536F0" w:rsidP="00E17392">
            <w:pPr>
              <w:jc w:val="center"/>
              <w:rPr>
                <w:color w:val="000000"/>
                <w:sz w:val="24"/>
                <w:szCs w:val="24"/>
              </w:rPr>
            </w:pPr>
            <w:r w:rsidRPr="00C53E86">
              <w:rPr>
                <w:color w:val="000000"/>
                <w:sz w:val="24"/>
                <w:szCs w:val="24"/>
              </w:rPr>
              <w:t>1.25 (0.89, 1.76)</w:t>
            </w:r>
          </w:p>
        </w:tc>
        <w:tc>
          <w:tcPr>
            <w:tcW w:w="2245" w:type="dxa"/>
            <w:noWrap/>
          </w:tcPr>
          <w:p w14:paraId="703456A4" w14:textId="77777777" w:rsidR="004536F0" w:rsidRPr="00C53E86" w:rsidRDefault="004536F0" w:rsidP="00E17392">
            <w:pPr>
              <w:jc w:val="center"/>
              <w:rPr>
                <w:color w:val="000000"/>
                <w:sz w:val="24"/>
                <w:szCs w:val="24"/>
              </w:rPr>
            </w:pPr>
            <w:r w:rsidRPr="00C53E86">
              <w:rPr>
                <w:color w:val="000000"/>
                <w:sz w:val="24"/>
                <w:szCs w:val="24"/>
              </w:rPr>
              <w:t>1.22 (0.89, 1.67)</w:t>
            </w:r>
          </w:p>
        </w:tc>
        <w:tc>
          <w:tcPr>
            <w:tcW w:w="2255" w:type="dxa"/>
            <w:noWrap/>
          </w:tcPr>
          <w:p w14:paraId="22ECD1EF" w14:textId="77777777" w:rsidR="004536F0" w:rsidRPr="00C53E86" w:rsidRDefault="004536F0" w:rsidP="00E17392">
            <w:pPr>
              <w:jc w:val="center"/>
              <w:rPr>
                <w:color w:val="000000"/>
                <w:sz w:val="24"/>
                <w:szCs w:val="24"/>
              </w:rPr>
            </w:pPr>
            <w:r w:rsidRPr="00C53E86">
              <w:rPr>
                <w:color w:val="000000"/>
                <w:sz w:val="24"/>
                <w:szCs w:val="24"/>
              </w:rPr>
              <w:t>1.32 (0.96, 1.82)</w:t>
            </w:r>
          </w:p>
        </w:tc>
      </w:tr>
      <w:tr w:rsidR="004536F0" w:rsidRPr="00C53E86" w14:paraId="494E34D0" w14:textId="77777777" w:rsidTr="004536F0">
        <w:trPr>
          <w:trHeight w:val="315"/>
        </w:trPr>
        <w:tc>
          <w:tcPr>
            <w:tcW w:w="2860" w:type="dxa"/>
            <w:noWrap/>
            <w:hideMark/>
          </w:tcPr>
          <w:p w14:paraId="616D9E8E" w14:textId="77777777" w:rsidR="004536F0" w:rsidRPr="00C53E86" w:rsidRDefault="004536F0" w:rsidP="00E17392">
            <w:pPr>
              <w:rPr>
                <w:color w:val="000000"/>
                <w:sz w:val="24"/>
                <w:szCs w:val="24"/>
              </w:rPr>
            </w:pPr>
            <w:r w:rsidRPr="00C53E86">
              <w:rPr>
                <w:color w:val="000000"/>
                <w:sz w:val="24"/>
                <w:szCs w:val="24"/>
              </w:rPr>
              <w:t>LOS (ratio of the geometric means)</w:t>
            </w:r>
          </w:p>
        </w:tc>
        <w:tc>
          <w:tcPr>
            <w:tcW w:w="2100" w:type="dxa"/>
            <w:noWrap/>
            <w:hideMark/>
          </w:tcPr>
          <w:p w14:paraId="45689ECD" w14:textId="77777777" w:rsidR="004536F0" w:rsidRPr="00C53E86" w:rsidRDefault="004536F0" w:rsidP="00E17392">
            <w:pPr>
              <w:jc w:val="center"/>
              <w:rPr>
                <w:color w:val="000000"/>
                <w:sz w:val="24"/>
                <w:szCs w:val="24"/>
              </w:rPr>
            </w:pPr>
            <w:r w:rsidRPr="00C53E86">
              <w:rPr>
                <w:color w:val="000000"/>
                <w:sz w:val="24"/>
                <w:szCs w:val="24"/>
              </w:rPr>
              <w:t>0.90 (0.86, 0.94)</w:t>
            </w:r>
          </w:p>
        </w:tc>
        <w:tc>
          <w:tcPr>
            <w:tcW w:w="2435" w:type="dxa"/>
            <w:noWrap/>
          </w:tcPr>
          <w:p w14:paraId="59A109EB" w14:textId="77777777" w:rsidR="004536F0" w:rsidRPr="00C53E86" w:rsidRDefault="004536F0" w:rsidP="00E17392">
            <w:pPr>
              <w:jc w:val="center"/>
              <w:rPr>
                <w:color w:val="000000"/>
                <w:sz w:val="24"/>
                <w:szCs w:val="24"/>
              </w:rPr>
            </w:pPr>
            <w:r w:rsidRPr="00C53E86">
              <w:rPr>
                <w:color w:val="000000"/>
                <w:sz w:val="24"/>
                <w:szCs w:val="24"/>
              </w:rPr>
              <w:t>1.14 (1.01, 1.28)</w:t>
            </w:r>
          </w:p>
        </w:tc>
        <w:tc>
          <w:tcPr>
            <w:tcW w:w="2245" w:type="dxa"/>
            <w:noWrap/>
          </w:tcPr>
          <w:p w14:paraId="12066859" w14:textId="77777777" w:rsidR="004536F0" w:rsidRPr="00C53E86" w:rsidRDefault="004536F0" w:rsidP="00E17392">
            <w:pPr>
              <w:jc w:val="center"/>
              <w:rPr>
                <w:color w:val="000000"/>
                <w:sz w:val="24"/>
                <w:szCs w:val="24"/>
              </w:rPr>
            </w:pPr>
            <w:r w:rsidRPr="00C53E86">
              <w:rPr>
                <w:color w:val="000000"/>
                <w:sz w:val="24"/>
                <w:szCs w:val="24"/>
              </w:rPr>
              <w:t>1.15 (1.03, 1.28)</w:t>
            </w:r>
          </w:p>
        </w:tc>
        <w:tc>
          <w:tcPr>
            <w:tcW w:w="2255" w:type="dxa"/>
            <w:noWrap/>
          </w:tcPr>
          <w:p w14:paraId="1ADDC7FF" w14:textId="77777777" w:rsidR="004536F0" w:rsidRPr="00C53E86" w:rsidRDefault="004536F0" w:rsidP="00E17392">
            <w:pPr>
              <w:jc w:val="center"/>
              <w:rPr>
                <w:color w:val="000000"/>
                <w:sz w:val="24"/>
                <w:szCs w:val="24"/>
              </w:rPr>
            </w:pPr>
            <w:r w:rsidRPr="00C53E86">
              <w:rPr>
                <w:color w:val="000000"/>
                <w:sz w:val="24"/>
                <w:szCs w:val="24"/>
              </w:rPr>
              <w:t>1.11 (0.99, 1.24)</w:t>
            </w:r>
          </w:p>
        </w:tc>
      </w:tr>
      <w:tr w:rsidR="004536F0" w:rsidRPr="00C53E86" w14:paraId="19FC0215" w14:textId="77777777" w:rsidTr="004536F0">
        <w:trPr>
          <w:trHeight w:val="315"/>
        </w:trPr>
        <w:tc>
          <w:tcPr>
            <w:tcW w:w="11895" w:type="dxa"/>
            <w:gridSpan w:val="5"/>
            <w:noWrap/>
            <w:hideMark/>
          </w:tcPr>
          <w:p w14:paraId="584CEBB9" w14:textId="77777777" w:rsidR="004536F0" w:rsidRPr="00C53E86" w:rsidRDefault="004536F0" w:rsidP="00E17392">
            <w:pPr>
              <w:jc w:val="center"/>
              <w:rPr>
                <w:color w:val="000000"/>
                <w:sz w:val="24"/>
                <w:szCs w:val="24"/>
              </w:rPr>
            </w:pPr>
            <w:r w:rsidRPr="00C53E86">
              <w:rPr>
                <w:color w:val="000000"/>
                <w:sz w:val="24"/>
                <w:szCs w:val="24"/>
              </w:rPr>
              <w:t>Average Treatment Effect on the Treated (ATT)</w:t>
            </w:r>
            <w:r w:rsidRPr="00C53E86">
              <w:rPr>
                <w:color w:val="000000"/>
                <w:sz w:val="24"/>
                <w:szCs w:val="24"/>
                <w:vertAlign w:val="superscript"/>
              </w:rPr>
              <w:t>4</w:t>
            </w:r>
          </w:p>
        </w:tc>
      </w:tr>
      <w:tr w:rsidR="004536F0" w:rsidRPr="00C53E86" w14:paraId="20F85CAD" w14:textId="77777777" w:rsidTr="004536F0">
        <w:trPr>
          <w:trHeight w:val="315"/>
        </w:trPr>
        <w:tc>
          <w:tcPr>
            <w:tcW w:w="2860" w:type="dxa"/>
            <w:noWrap/>
            <w:hideMark/>
          </w:tcPr>
          <w:p w14:paraId="73E8AC5A" w14:textId="77777777" w:rsidR="004536F0" w:rsidRPr="00C53E86" w:rsidRDefault="004536F0" w:rsidP="00E17392">
            <w:pPr>
              <w:rPr>
                <w:color w:val="000000"/>
                <w:sz w:val="24"/>
                <w:szCs w:val="24"/>
              </w:rPr>
            </w:pPr>
            <w:r w:rsidRPr="00C53E86">
              <w:rPr>
                <w:color w:val="000000"/>
                <w:sz w:val="24"/>
                <w:szCs w:val="24"/>
              </w:rPr>
              <w:t>Inpatient Mortality</w:t>
            </w:r>
          </w:p>
        </w:tc>
        <w:tc>
          <w:tcPr>
            <w:tcW w:w="2100" w:type="dxa"/>
            <w:noWrap/>
            <w:hideMark/>
          </w:tcPr>
          <w:p w14:paraId="4028F8E6" w14:textId="77777777" w:rsidR="004536F0" w:rsidRPr="00C53E86" w:rsidRDefault="004536F0" w:rsidP="00E17392">
            <w:pPr>
              <w:jc w:val="center"/>
              <w:rPr>
                <w:color w:val="000000"/>
                <w:sz w:val="24"/>
                <w:szCs w:val="24"/>
              </w:rPr>
            </w:pPr>
            <w:r w:rsidRPr="00C53E86">
              <w:rPr>
                <w:color w:val="000000"/>
                <w:sz w:val="24"/>
                <w:szCs w:val="24"/>
              </w:rPr>
              <w:t>0.60 (0.44, 0.82)</w:t>
            </w:r>
          </w:p>
        </w:tc>
        <w:tc>
          <w:tcPr>
            <w:tcW w:w="2435" w:type="dxa"/>
            <w:noWrap/>
          </w:tcPr>
          <w:p w14:paraId="7EE1614C" w14:textId="77777777" w:rsidR="004536F0" w:rsidRPr="00C53E86" w:rsidRDefault="004536F0" w:rsidP="00E17392">
            <w:pPr>
              <w:jc w:val="center"/>
              <w:rPr>
                <w:color w:val="000000"/>
                <w:sz w:val="24"/>
                <w:szCs w:val="24"/>
              </w:rPr>
            </w:pPr>
            <w:r w:rsidRPr="00C53E86">
              <w:rPr>
                <w:color w:val="000000"/>
                <w:sz w:val="24"/>
                <w:szCs w:val="24"/>
              </w:rPr>
              <w:t>0.24 (0.09, 0.66)</w:t>
            </w:r>
          </w:p>
        </w:tc>
        <w:tc>
          <w:tcPr>
            <w:tcW w:w="2245" w:type="dxa"/>
            <w:noWrap/>
          </w:tcPr>
          <w:p w14:paraId="275EA755" w14:textId="77777777" w:rsidR="004536F0" w:rsidRPr="00C53E86" w:rsidRDefault="004536F0" w:rsidP="00E17392">
            <w:pPr>
              <w:jc w:val="center"/>
              <w:rPr>
                <w:color w:val="000000"/>
                <w:sz w:val="24"/>
                <w:szCs w:val="24"/>
              </w:rPr>
            </w:pPr>
            <w:r w:rsidRPr="00C53E86">
              <w:rPr>
                <w:color w:val="000000"/>
                <w:sz w:val="24"/>
                <w:szCs w:val="24"/>
              </w:rPr>
              <w:t>0.14 (0.05, 0.39)</w:t>
            </w:r>
          </w:p>
        </w:tc>
        <w:tc>
          <w:tcPr>
            <w:tcW w:w="2255" w:type="dxa"/>
            <w:noWrap/>
          </w:tcPr>
          <w:p w14:paraId="754631FB" w14:textId="77777777" w:rsidR="004536F0" w:rsidRPr="00C53E86" w:rsidRDefault="004536F0" w:rsidP="00E17392">
            <w:pPr>
              <w:jc w:val="center"/>
              <w:rPr>
                <w:color w:val="000000"/>
                <w:sz w:val="24"/>
                <w:szCs w:val="24"/>
              </w:rPr>
            </w:pPr>
            <w:r w:rsidRPr="00C53E86">
              <w:rPr>
                <w:color w:val="000000"/>
                <w:sz w:val="24"/>
                <w:szCs w:val="24"/>
              </w:rPr>
              <w:t>0.09 (0.03, 0.24)</w:t>
            </w:r>
          </w:p>
        </w:tc>
      </w:tr>
      <w:tr w:rsidR="004536F0" w:rsidRPr="00C53E86" w14:paraId="681F7FA5" w14:textId="77777777" w:rsidTr="004536F0">
        <w:trPr>
          <w:trHeight w:val="315"/>
        </w:trPr>
        <w:tc>
          <w:tcPr>
            <w:tcW w:w="2860" w:type="dxa"/>
            <w:noWrap/>
            <w:hideMark/>
          </w:tcPr>
          <w:p w14:paraId="7308214D" w14:textId="77777777" w:rsidR="004536F0" w:rsidRPr="00C53E86" w:rsidRDefault="004536F0" w:rsidP="00E17392">
            <w:pPr>
              <w:rPr>
                <w:color w:val="000000"/>
                <w:sz w:val="24"/>
                <w:szCs w:val="24"/>
              </w:rPr>
            </w:pPr>
            <w:r w:rsidRPr="00C53E86">
              <w:rPr>
                <w:color w:val="000000"/>
                <w:sz w:val="24"/>
                <w:szCs w:val="24"/>
              </w:rPr>
              <w:t>30-Day Mortality</w:t>
            </w:r>
          </w:p>
        </w:tc>
        <w:tc>
          <w:tcPr>
            <w:tcW w:w="2100" w:type="dxa"/>
            <w:noWrap/>
            <w:hideMark/>
          </w:tcPr>
          <w:p w14:paraId="19F2799E" w14:textId="77777777" w:rsidR="004536F0" w:rsidRPr="00C53E86" w:rsidRDefault="004536F0" w:rsidP="00E17392">
            <w:pPr>
              <w:jc w:val="center"/>
              <w:rPr>
                <w:color w:val="000000"/>
                <w:sz w:val="24"/>
                <w:szCs w:val="24"/>
              </w:rPr>
            </w:pPr>
            <w:r w:rsidRPr="00C53E86">
              <w:rPr>
                <w:color w:val="000000"/>
                <w:sz w:val="24"/>
                <w:szCs w:val="24"/>
              </w:rPr>
              <w:t>0.72 (0.55, 0.93)</w:t>
            </w:r>
          </w:p>
        </w:tc>
        <w:tc>
          <w:tcPr>
            <w:tcW w:w="2435" w:type="dxa"/>
            <w:noWrap/>
          </w:tcPr>
          <w:p w14:paraId="0630526E" w14:textId="77777777" w:rsidR="004536F0" w:rsidRPr="00C53E86" w:rsidRDefault="004536F0" w:rsidP="00E17392">
            <w:pPr>
              <w:jc w:val="center"/>
              <w:rPr>
                <w:color w:val="000000"/>
                <w:sz w:val="24"/>
                <w:szCs w:val="24"/>
              </w:rPr>
            </w:pPr>
            <w:r w:rsidRPr="00C53E86">
              <w:rPr>
                <w:color w:val="000000"/>
                <w:sz w:val="24"/>
                <w:szCs w:val="24"/>
              </w:rPr>
              <w:t>0.38 (0.17, 0.85)</w:t>
            </w:r>
          </w:p>
        </w:tc>
        <w:tc>
          <w:tcPr>
            <w:tcW w:w="2245" w:type="dxa"/>
            <w:noWrap/>
          </w:tcPr>
          <w:p w14:paraId="06D70A00" w14:textId="77777777" w:rsidR="004536F0" w:rsidRPr="00C53E86" w:rsidRDefault="004536F0" w:rsidP="00E17392">
            <w:pPr>
              <w:jc w:val="center"/>
              <w:rPr>
                <w:color w:val="000000"/>
                <w:sz w:val="24"/>
                <w:szCs w:val="24"/>
              </w:rPr>
            </w:pPr>
            <w:r w:rsidRPr="00C53E86">
              <w:rPr>
                <w:color w:val="000000"/>
                <w:sz w:val="24"/>
                <w:szCs w:val="24"/>
              </w:rPr>
              <w:t>0.19 (0.09, 0.40)</w:t>
            </w:r>
          </w:p>
        </w:tc>
        <w:tc>
          <w:tcPr>
            <w:tcW w:w="2255" w:type="dxa"/>
            <w:noWrap/>
          </w:tcPr>
          <w:p w14:paraId="02A752C8" w14:textId="77777777" w:rsidR="004536F0" w:rsidRPr="00C53E86" w:rsidRDefault="004536F0" w:rsidP="00E17392">
            <w:pPr>
              <w:jc w:val="center"/>
              <w:rPr>
                <w:color w:val="000000"/>
                <w:sz w:val="24"/>
                <w:szCs w:val="24"/>
              </w:rPr>
            </w:pPr>
            <w:r w:rsidRPr="00C53E86">
              <w:rPr>
                <w:color w:val="000000"/>
                <w:sz w:val="24"/>
                <w:szCs w:val="24"/>
              </w:rPr>
              <w:t>0.13 (0.06, 0.28)</w:t>
            </w:r>
          </w:p>
        </w:tc>
      </w:tr>
      <w:tr w:rsidR="004536F0" w:rsidRPr="00C53E86" w14:paraId="60B8CB76" w14:textId="77777777" w:rsidTr="004536F0">
        <w:trPr>
          <w:trHeight w:val="315"/>
        </w:trPr>
        <w:tc>
          <w:tcPr>
            <w:tcW w:w="2860" w:type="dxa"/>
            <w:noWrap/>
            <w:hideMark/>
          </w:tcPr>
          <w:p w14:paraId="1B70D79B" w14:textId="77777777" w:rsidR="004536F0" w:rsidRPr="00C53E86" w:rsidRDefault="004536F0" w:rsidP="00E17392">
            <w:pPr>
              <w:rPr>
                <w:color w:val="000000"/>
                <w:sz w:val="24"/>
                <w:szCs w:val="24"/>
              </w:rPr>
            </w:pPr>
            <w:r w:rsidRPr="00C53E86">
              <w:rPr>
                <w:color w:val="000000"/>
                <w:sz w:val="24"/>
                <w:szCs w:val="24"/>
              </w:rPr>
              <w:t>Readmission</w:t>
            </w:r>
          </w:p>
        </w:tc>
        <w:tc>
          <w:tcPr>
            <w:tcW w:w="2100" w:type="dxa"/>
            <w:noWrap/>
            <w:hideMark/>
          </w:tcPr>
          <w:p w14:paraId="530C06AF" w14:textId="77777777" w:rsidR="004536F0" w:rsidRPr="00C53E86" w:rsidRDefault="004536F0" w:rsidP="00E17392">
            <w:pPr>
              <w:jc w:val="center"/>
              <w:rPr>
                <w:color w:val="000000"/>
                <w:sz w:val="24"/>
                <w:szCs w:val="24"/>
              </w:rPr>
            </w:pPr>
            <w:r w:rsidRPr="00C53E86">
              <w:rPr>
                <w:color w:val="000000"/>
                <w:sz w:val="24"/>
                <w:szCs w:val="24"/>
              </w:rPr>
              <w:t>1.03 (0.87, 1.22)</w:t>
            </w:r>
          </w:p>
        </w:tc>
        <w:tc>
          <w:tcPr>
            <w:tcW w:w="2435" w:type="dxa"/>
            <w:noWrap/>
          </w:tcPr>
          <w:p w14:paraId="0F695C51" w14:textId="77777777" w:rsidR="004536F0" w:rsidRPr="00C53E86" w:rsidRDefault="004536F0" w:rsidP="00E17392">
            <w:pPr>
              <w:jc w:val="center"/>
              <w:rPr>
                <w:color w:val="000000"/>
                <w:sz w:val="24"/>
                <w:szCs w:val="24"/>
              </w:rPr>
            </w:pPr>
            <w:r w:rsidRPr="00C53E86">
              <w:rPr>
                <w:color w:val="000000"/>
                <w:sz w:val="24"/>
                <w:szCs w:val="24"/>
              </w:rPr>
              <w:t>1.03 (0.60, 1.77)</w:t>
            </w:r>
          </w:p>
        </w:tc>
        <w:tc>
          <w:tcPr>
            <w:tcW w:w="2245" w:type="dxa"/>
            <w:noWrap/>
          </w:tcPr>
          <w:p w14:paraId="580742C0" w14:textId="77777777" w:rsidR="004536F0" w:rsidRPr="00C53E86" w:rsidRDefault="004536F0" w:rsidP="00E17392">
            <w:pPr>
              <w:jc w:val="center"/>
              <w:rPr>
                <w:color w:val="000000"/>
                <w:sz w:val="24"/>
                <w:szCs w:val="24"/>
              </w:rPr>
            </w:pPr>
            <w:r w:rsidRPr="00C53E86">
              <w:rPr>
                <w:color w:val="000000"/>
                <w:sz w:val="24"/>
                <w:szCs w:val="24"/>
              </w:rPr>
              <w:t>1.07 (0.65, 1.76)</w:t>
            </w:r>
          </w:p>
        </w:tc>
        <w:tc>
          <w:tcPr>
            <w:tcW w:w="2255" w:type="dxa"/>
            <w:noWrap/>
          </w:tcPr>
          <w:p w14:paraId="2998A9DA" w14:textId="77777777" w:rsidR="004536F0" w:rsidRPr="00C53E86" w:rsidRDefault="004536F0" w:rsidP="00E17392">
            <w:pPr>
              <w:jc w:val="center"/>
              <w:rPr>
                <w:color w:val="000000"/>
                <w:sz w:val="24"/>
                <w:szCs w:val="24"/>
              </w:rPr>
            </w:pPr>
            <w:r w:rsidRPr="00C53E86">
              <w:rPr>
                <w:color w:val="000000"/>
                <w:sz w:val="24"/>
                <w:szCs w:val="24"/>
              </w:rPr>
              <w:t>1.13 (0.69, 1.85)</w:t>
            </w:r>
          </w:p>
        </w:tc>
      </w:tr>
      <w:tr w:rsidR="004536F0" w:rsidRPr="00C53E86" w14:paraId="75A3F41A" w14:textId="77777777" w:rsidTr="004536F0">
        <w:trPr>
          <w:trHeight w:val="315"/>
        </w:trPr>
        <w:tc>
          <w:tcPr>
            <w:tcW w:w="2860" w:type="dxa"/>
            <w:noWrap/>
            <w:hideMark/>
          </w:tcPr>
          <w:p w14:paraId="2C6261B5" w14:textId="77777777" w:rsidR="004536F0" w:rsidRPr="00C53E86" w:rsidRDefault="004536F0" w:rsidP="00E17392">
            <w:pPr>
              <w:rPr>
                <w:color w:val="000000"/>
                <w:sz w:val="24"/>
                <w:szCs w:val="24"/>
              </w:rPr>
            </w:pPr>
            <w:r w:rsidRPr="00C53E86">
              <w:rPr>
                <w:color w:val="000000"/>
                <w:sz w:val="24"/>
                <w:szCs w:val="24"/>
              </w:rPr>
              <w:t>LOS (ratio of the geometric means)</w:t>
            </w:r>
            <w:r w:rsidRPr="00C53E86">
              <w:rPr>
                <w:color w:val="000000"/>
                <w:sz w:val="24"/>
                <w:szCs w:val="24"/>
                <w:vertAlign w:val="superscript"/>
              </w:rPr>
              <w:t>5</w:t>
            </w:r>
          </w:p>
        </w:tc>
        <w:tc>
          <w:tcPr>
            <w:tcW w:w="2100" w:type="dxa"/>
            <w:noWrap/>
            <w:hideMark/>
          </w:tcPr>
          <w:p w14:paraId="554B2F8C" w14:textId="77777777" w:rsidR="004536F0" w:rsidRPr="00C53E86" w:rsidRDefault="004536F0" w:rsidP="00E17392">
            <w:pPr>
              <w:jc w:val="center"/>
              <w:rPr>
                <w:color w:val="000000"/>
                <w:sz w:val="24"/>
                <w:szCs w:val="24"/>
              </w:rPr>
            </w:pPr>
            <w:r w:rsidRPr="00C53E86">
              <w:rPr>
                <w:color w:val="000000"/>
                <w:sz w:val="24"/>
                <w:szCs w:val="24"/>
              </w:rPr>
              <w:t>0.89 (0.84, 0.95)</w:t>
            </w:r>
          </w:p>
        </w:tc>
        <w:tc>
          <w:tcPr>
            <w:tcW w:w="2435" w:type="dxa"/>
            <w:noWrap/>
          </w:tcPr>
          <w:p w14:paraId="406C030C" w14:textId="77777777" w:rsidR="004536F0" w:rsidRPr="00C53E86" w:rsidRDefault="004536F0" w:rsidP="00E17392">
            <w:pPr>
              <w:jc w:val="center"/>
              <w:rPr>
                <w:color w:val="000000"/>
                <w:sz w:val="24"/>
                <w:szCs w:val="24"/>
              </w:rPr>
            </w:pPr>
            <w:r w:rsidRPr="00C53E86">
              <w:rPr>
                <w:color w:val="000000"/>
                <w:sz w:val="24"/>
                <w:szCs w:val="24"/>
              </w:rPr>
              <w:t>1.26 (1.08, 1.46)</w:t>
            </w:r>
          </w:p>
        </w:tc>
        <w:tc>
          <w:tcPr>
            <w:tcW w:w="2245" w:type="dxa"/>
            <w:noWrap/>
          </w:tcPr>
          <w:p w14:paraId="0ABDC080" w14:textId="77777777" w:rsidR="004536F0" w:rsidRPr="00C53E86" w:rsidRDefault="004536F0" w:rsidP="00E17392">
            <w:pPr>
              <w:jc w:val="center"/>
              <w:rPr>
                <w:color w:val="000000"/>
                <w:sz w:val="24"/>
                <w:szCs w:val="24"/>
              </w:rPr>
            </w:pPr>
            <w:r w:rsidRPr="00C53E86">
              <w:rPr>
                <w:color w:val="000000"/>
                <w:sz w:val="24"/>
                <w:szCs w:val="24"/>
              </w:rPr>
              <w:t>1.22 (1.06, 1.40)</w:t>
            </w:r>
          </w:p>
        </w:tc>
        <w:tc>
          <w:tcPr>
            <w:tcW w:w="2255" w:type="dxa"/>
            <w:noWrap/>
          </w:tcPr>
          <w:p w14:paraId="2C8E9983" w14:textId="77777777" w:rsidR="004536F0" w:rsidRPr="00C53E86" w:rsidRDefault="004536F0" w:rsidP="00E17392">
            <w:pPr>
              <w:jc w:val="center"/>
              <w:rPr>
                <w:color w:val="000000"/>
                <w:sz w:val="24"/>
                <w:szCs w:val="24"/>
              </w:rPr>
            </w:pPr>
            <w:r w:rsidRPr="00C53E86">
              <w:rPr>
                <w:color w:val="000000"/>
                <w:sz w:val="24"/>
                <w:szCs w:val="24"/>
              </w:rPr>
              <w:t>1.09 (0.95, 1.25)</w:t>
            </w:r>
          </w:p>
        </w:tc>
      </w:tr>
    </w:tbl>
    <w:p w14:paraId="2DD88E85" w14:textId="77777777" w:rsidR="004536F0" w:rsidRPr="00C53E86" w:rsidRDefault="004536F0" w:rsidP="004536F0">
      <w:pPr>
        <w:pStyle w:val="NoSpacing"/>
        <w:rPr>
          <w:rFonts w:cs="Arial"/>
          <w:b/>
          <w:color w:val="548DD4" w:themeColor="text2" w:themeTint="99"/>
          <w:sz w:val="24"/>
          <w:szCs w:val="24"/>
        </w:rPr>
      </w:pPr>
    </w:p>
    <w:p w14:paraId="7E1B9DF4" w14:textId="748D29B6" w:rsidR="000C6FB1" w:rsidRPr="004536F0" w:rsidRDefault="004536F0" w:rsidP="004536F0">
      <w:pPr>
        <w:pStyle w:val="NoSpacing"/>
        <w:ind w:left="270"/>
        <w:rPr>
          <w:rFonts w:ascii="Arial" w:hAnsi="Arial" w:cs="Arial"/>
          <w:color w:val="000000"/>
        </w:rPr>
      </w:pPr>
      <w:r w:rsidRPr="004536F0">
        <w:rPr>
          <w:rFonts w:ascii="Arial" w:hAnsi="Arial" w:cs="Arial"/>
          <w:color w:val="000000"/>
          <w:vertAlign w:val="superscript"/>
        </w:rPr>
        <w:t>1</w:t>
      </w:r>
      <w:r>
        <w:rPr>
          <w:rFonts w:ascii="Arial" w:hAnsi="Arial" w:cs="Arial"/>
          <w:color w:val="000000"/>
        </w:rPr>
        <w:t>Refers to comparison in which the reference group consists of patients who were not treated using the acute myocardial infarction order set</w:t>
      </w:r>
      <w:proofErr w:type="gramStart"/>
      <w:r>
        <w:rPr>
          <w:rFonts w:ascii="Arial" w:hAnsi="Arial" w:cs="Arial"/>
          <w:color w:val="000000"/>
        </w:rPr>
        <w:t>.</w:t>
      </w:r>
      <w:r>
        <w:rPr>
          <w:rFonts w:ascii="Arial" w:hAnsi="Arial" w:cs="Arial"/>
          <w:color w:val="000000"/>
        </w:rPr>
        <w:t xml:space="preserve"> </w:t>
      </w:r>
      <w:proofErr w:type="gramEnd"/>
      <w:r w:rsidRPr="004536F0">
        <w:rPr>
          <w:rFonts w:ascii="Arial" w:hAnsi="Arial" w:cs="Arial"/>
          <w:color w:val="000000"/>
          <w:vertAlign w:val="superscript"/>
        </w:rPr>
        <w:t>2</w:t>
      </w:r>
      <w:r>
        <w:rPr>
          <w:rFonts w:ascii="Arial" w:hAnsi="Arial" w:cs="Arial"/>
          <w:color w:val="000000"/>
        </w:rPr>
        <w:t xml:space="preserve">Refers to comparison in which the reference group consists of patients who received 2 or less of the </w:t>
      </w:r>
      <w:r>
        <w:rPr>
          <w:rFonts w:ascii="Arial" w:hAnsi="Arial" w:cs="Arial"/>
          <w:color w:val="000000"/>
        </w:rPr>
        <w:t>5</w:t>
      </w:r>
      <w:bookmarkStart w:id="0" w:name="_GoBack"/>
      <w:bookmarkEnd w:id="0"/>
      <w:r>
        <w:rPr>
          <w:rFonts w:ascii="Arial" w:hAnsi="Arial" w:cs="Arial"/>
          <w:color w:val="000000"/>
        </w:rPr>
        <w:t xml:space="preserve"> recommended ther</w:t>
      </w:r>
      <w:r>
        <w:rPr>
          <w:rFonts w:ascii="Arial" w:hAnsi="Arial" w:cs="Arial"/>
          <w:color w:val="000000"/>
        </w:rPr>
        <w:t xml:space="preserve">apies. </w:t>
      </w:r>
      <w:r w:rsidRPr="004536F0">
        <w:rPr>
          <w:rFonts w:ascii="Arial" w:hAnsi="Arial" w:cs="Arial"/>
          <w:color w:val="000000"/>
          <w:vertAlign w:val="superscript"/>
        </w:rPr>
        <w:t>3</w:t>
      </w:r>
      <w:r>
        <w:rPr>
          <w:rFonts w:ascii="Arial" w:hAnsi="Arial" w:cs="Arial"/>
          <w:color w:val="000000"/>
        </w:rPr>
        <w:t>See text for description of ATE methodology</w:t>
      </w:r>
      <w:proofErr w:type="gramStart"/>
      <w:r>
        <w:rPr>
          <w:rFonts w:ascii="Arial" w:hAnsi="Arial" w:cs="Arial"/>
          <w:color w:val="000000"/>
        </w:rPr>
        <w:t>.</w:t>
      </w:r>
      <w:r>
        <w:rPr>
          <w:rFonts w:ascii="Arial" w:hAnsi="Arial" w:cs="Arial"/>
          <w:color w:val="000000"/>
        </w:rPr>
        <w:t xml:space="preserve"> </w:t>
      </w:r>
      <w:proofErr w:type="gramEnd"/>
      <w:r w:rsidRPr="004536F0">
        <w:rPr>
          <w:rFonts w:ascii="Arial" w:hAnsi="Arial" w:cs="Arial"/>
          <w:color w:val="000000"/>
          <w:vertAlign w:val="superscript"/>
        </w:rPr>
        <w:t>4</w:t>
      </w:r>
      <w:r>
        <w:rPr>
          <w:rFonts w:ascii="Arial" w:hAnsi="Arial" w:cs="Arial"/>
          <w:color w:val="000000"/>
        </w:rPr>
        <w:t>See text for description of ATT and matched pair adjustment methodology</w:t>
      </w:r>
      <w:proofErr w:type="gramStart"/>
      <w:r>
        <w:rPr>
          <w:rFonts w:ascii="Arial" w:hAnsi="Arial" w:cs="Arial"/>
          <w:color w:val="000000"/>
        </w:rPr>
        <w:t>.</w:t>
      </w:r>
      <w:r>
        <w:rPr>
          <w:rFonts w:ascii="Arial" w:hAnsi="Arial" w:cs="Arial"/>
          <w:color w:val="000000"/>
        </w:rPr>
        <w:t xml:space="preserve"> </w:t>
      </w:r>
      <w:r w:rsidRPr="004536F0">
        <w:rPr>
          <w:rFonts w:ascii="Arial" w:hAnsi="Arial" w:cs="Arial"/>
          <w:color w:val="000000"/>
          <w:vertAlign w:val="superscript"/>
        </w:rPr>
        <w:t>5</w:t>
      </w:r>
      <w:r>
        <w:rPr>
          <w:rFonts w:ascii="Arial" w:hAnsi="Arial" w:cs="Arial"/>
          <w:color w:val="000000"/>
        </w:rPr>
        <w:t>See text for details on how we modeled LOS.</w:t>
      </w:r>
      <w:proofErr w:type="gramEnd"/>
    </w:p>
    <w:sectPr w:rsidR="000C6FB1" w:rsidRPr="004536F0" w:rsidSect="004536F0">
      <w:pgSz w:w="15840" w:h="12240" w:orient="landscape"/>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d0dx9x1tx2zxeet245tt25ffpaz2r5wpf5&quot;&gt;Current SRIPRU2 2007&lt;record-ids&gt;&lt;item&gt;7023&lt;/item&gt;&lt;item&gt;8015&lt;/item&gt;&lt;item&gt;8016&lt;/item&gt;&lt;item&gt;8017&lt;/item&gt;&lt;/record-ids&gt;&lt;/item&gt;&lt;/Libraries&gt;"/>
  </w:docVars>
  <w:rsids>
    <w:rsidRoot w:val="001173B4"/>
    <w:rsid w:val="000324D3"/>
    <w:rsid w:val="00032701"/>
    <w:rsid w:val="0008176F"/>
    <w:rsid w:val="00093C75"/>
    <w:rsid w:val="000C6FB1"/>
    <w:rsid w:val="0010028F"/>
    <w:rsid w:val="001173B4"/>
    <w:rsid w:val="001265F3"/>
    <w:rsid w:val="001A5680"/>
    <w:rsid w:val="001E68C7"/>
    <w:rsid w:val="00256508"/>
    <w:rsid w:val="00270569"/>
    <w:rsid w:val="002B01F2"/>
    <w:rsid w:val="002C7694"/>
    <w:rsid w:val="00352E9C"/>
    <w:rsid w:val="00425243"/>
    <w:rsid w:val="004536F0"/>
    <w:rsid w:val="004D7D39"/>
    <w:rsid w:val="005A15EA"/>
    <w:rsid w:val="005A3FEB"/>
    <w:rsid w:val="005B41F7"/>
    <w:rsid w:val="005C6C59"/>
    <w:rsid w:val="005E5E38"/>
    <w:rsid w:val="0069021F"/>
    <w:rsid w:val="0075123C"/>
    <w:rsid w:val="007A6D88"/>
    <w:rsid w:val="00850354"/>
    <w:rsid w:val="008922A3"/>
    <w:rsid w:val="009239FF"/>
    <w:rsid w:val="00931B3C"/>
    <w:rsid w:val="009459FA"/>
    <w:rsid w:val="009460C3"/>
    <w:rsid w:val="00965A0D"/>
    <w:rsid w:val="00981CE5"/>
    <w:rsid w:val="009A092B"/>
    <w:rsid w:val="00A73100"/>
    <w:rsid w:val="00AB51AD"/>
    <w:rsid w:val="00B43A50"/>
    <w:rsid w:val="00B45BED"/>
    <w:rsid w:val="00B7265B"/>
    <w:rsid w:val="00BC047C"/>
    <w:rsid w:val="00BC0CE9"/>
    <w:rsid w:val="00C83EDD"/>
    <w:rsid w:val="00CB68EB"/>
    <w:rsid w:val="00CE39CF"/>
    <w:rsid w:val="00D67A40"/>
    <w:rsid w:val="00D92C44"/>
    <w:rsid w:val="00DB417D"/>
    <w:rsid w:val="00DC213C"/>
    <w:rsid w:val="00E72656"/>
    <w:rsid w:val="00E73023"/>
    <w:rsid w:val="00EF3085"/>
    <w:rsid w:val="00EF7663"/>
    <w:rsid w:val="00F17ECA"/>
    <w:rsid w:val="00FB0B04"/>
    <w:rsid w:val="00FB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2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F3"/>
    <w:rPr>
      <w:rFonts w:ascii="Tahoma" w:hAnsi="Tahoma" w:cs="Tahoma"/>
      <w:sz w:val="16"/>
      <w:szCs w:val="16"/>
    </w:rPr>
  </w:style>
  <w:style w:type="table" w:styleId="TableGrid">
    <w:name w:val="Table Grid"/>
    <w:basedOn w:val="TableNormal"/>
    <w:uiPriority w:val="59"/>
    <w:rsid w:val="0093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1B3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99"/>
    <w:qFormat/>
    <w:rsid w:val="00BC0CE9"/>
    <w:pPr>
      <w:spacing w:after="0" w:line="240" w:lineRule="auto"/>
    </w:pPr>
  </w:style>
  <w:style w:type="character" w:styleId="Hyperlink">
    <w:name w:val="Hyperlink"/>
    <w:basedOn w:val="DefaultParagraphFont"/>
    <w:uiPriority w:val="99"/>
    <w:unhideWhenUsed/>
    <w:rsid w:val="005C6C59"/>
    <w:rPr>
      <w:color w:val="0000FF" w:themeColor="hyperlink"/>
      <w:u w:val="single"/>
    </w:rPr>
  </w:style>
  <w:style w:type="character" w:styleId="CommentReference">
    <w:name w:val="annotation reference"/>
    <w:basedOn w:val="DefaultParagraphFont"/>
    <w:uiPriority w:val="99"/>
    <w:semiHidden/>
    <w:unhideWhenUsed/>
    <w:rsid w:val="00D92C44"/>
    <w:rPr>
      <w:sz w:val="16"/>
      <w:szCs w:val="16"/>
    </w:rPr>
  </w:style>
  <w:style w:type="paragraph" w:styleId="CommentText">
    <w:name w:val="annotation text"/>
    <w:basedOn w:val="Normal"/>
    <w:link w:val="CommentTextChar"/>
    <w:uiPriority w:val="99"/>
    <w:semiHidden/>
    <w:unhideWhenUsed/>
    <w:rsid w:val="00D92C44"/>
    <w:pPr>
      <w:spacing w:line="240" w:lineRule="auto"/>
    </w:pPr>
    <w:rPr>
      <w:sz w:val="20"/>
      <w:szCs w:val="20"/>
    </w:rPr>
  </w:style>
  <w:style w:type="character" w:customStyle="1" w:styleId="CommentTextChar">
    <w:name w:val="Comment Text Char"/>
    <w:basedOn w:val="DefaultParagraphFont"/>
    <w:link w:val="CommentText"/>
    <w:uiPriority w:val="99"/>
    <w:semiHidden/>
    <w:rsid w:val="00D92C44"/>
    <w:rPr>
      <w:sz w:val="20"/>
      <w:szCs w:val="20"/>
    </w:rPr>
  </w:style>
  <w:style w:type="paragraph" w:styleId="CommentSubject">
    <w:name w:val="annotation subject"/>
    <w:basedOn w:val="CommentText"/>
    <w:next w:val="CommentText"/>
    <w:link w:val="CommentSubjectChar"/>
    <w:uiPriority w:val="99"/>
    <w:semiHidden/>
    <w:unhideWhenUsed/>
    <w:rsid w:val="00D92C44"/>
    <w:rPr>
      <w:b/>
      <w:bCs/>
    </w:rPr>
  </w:style>
  <w:style w:type="character" w:customStyle="1" w:styleId="CommentSubjectChar">
    <w:name w:val="Comment Subject Char"/>
    <w:basedOn w:val="CommentTextChar"/>
    <w:link w:val="CommentSubject"/>
    <w:uiPriority w:val="99"/>
    <w:semiHidden/>
    <w:rsid w:val="00D92C44"/>
    <w:rPr>
      <w:b/>
      <w:bCs/>
      <w:sz w:val="20"/>
      <w:szCs w:val="20"/>
    </w:rPr>
  </w:style>
  <w:style w:type="paragraph" w:styleId="Header">
    <w:name w:val="header"/>
    <w:basedOn w:val="Normal"/>
    <w:link w:val="HeaderChar"/>
    <w:uiPriority w:val="99"/>
    <w:unhideWhenUsed/>
    <w:rsid w:val="00EF3085"/>
    <w:pPr>
      <w:tabs>
        <w:tab w:val="center" w:pos="4680"/>
        <w:tab w:val="right" w:pos="9360"/>
      </w:tabs>
      <w:spacing w:after="0" w:line="240" w:lineRule="auto"/>
    </w:pPr>
    <w:rPr>
      <w:rFonts w:ascii="Arial" w:eastAsia="Calibri" w:hAnsi="Arial" w:cs="Arial"/>
    </w:rPr>
  </w:style>
  <w:style w:type="character" w:customStyle="1" w:styleId="HeaderChar">
    <w:name w:val="Header Char"/>
    <w:basedOn w:val="DefaultParagraphFont"/>
    <w:link w:val="Header"/>
    <w:uiPriority w:val="99"/>
    <w:rsid w:val="00EF3085"/>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2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F3"/>
    <w:rPr>
      <w:rFonts w:ascii="Tahoma" w:hAnsi="Tahoma" w:cs="Tahoma"/>
      <w:sz w:val="16"/>
      <w:szCs w:val="16"/>
    </w:rPr>
  </w:style>
  <w:style w:type="table" w:styleId="TableGrid">
    <w:name w:val="Table Grid"/>
    <w:basedOn w:val="TableNormal"/>
    <w:uiPriority w:val="59"/>
    <w:rsid w:val="0093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1B3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99"/>
    <w:qFormat/>
    <w:rsid w:val="00BC0CE9"/>
    <w:pPr>
      <w:spacing w:after="0" w:line="240" w:lineRule="auto"/>
    </w:pPr>
  </w:style>
  <w:style w:type="character" w:styleId="Hyperlink">
    <w:name w:val="Hyperlink"/>
    <w:basedOn w:val="DefaultParagraphFont"/>
    <w:uiPriority w:val="99"/>
    <w:unhideWhenUsed/>
    <w:rsid w:val="005C6C59"/>
    <w:rPr>
      <w:color w:val="0000FF" w:themeColor="hyperlink"/>
      <w:u w:val="single"/>
    </w:rPr>
  </w:style>
  <w:style w:type="character" w:styleId="CommentReference">
    <w:name w:val="annotation reference"/>
    <w:basedOn w:val="DefaultParagraphFont"/>
    <w:uiPriority w:val="99"/>
    <w:semiHidden/>
    <w:unhideWhenUsed/>
    <w:rsid w:val="00D92C44"/>
    <w:rPr>
      <w:sz w:val="16"/>
      <w:szCs w:val="16"/>
    </w:rPr>
  </w:style>
  <w:style w:type="paragraph" w:styleId="CommentText">
    <w:name w:val="annotation text"/>
    <w:basedOn w:val="Normal"/>
    <w:link w:val="CommentTextChar"/>
    <w:uiPriority w:val="99"/>
    <w:semiHidden/>
    <w:unhideWhenUsed/>
    <w:rsid w:val="00D92C44"/>
    <w:pPr>
      <w:spacing w:line="240" w:lineRule="auto"/>
    </w:pPr>
    <w:rPr>
      <w:sz w:val="20"/>
      <w:szCs w:val="20"/>
    </w:rPr>
  </w:style>
  <w:style w:type="character" w:customStyle="1" w:styleId="CommentTextChar">
    <w:name w:val="Comment Text Char"/>
    <w:basedOn w:val="DefaultParagraphFont"/>
    <w:link w:val="CommentText"/>
    <w:uiPriority w:val="99"/>
    <w:semiHidden/>
    <w:rsid w:val="00D92C44"/>
    <w:rPr>
      <w:sz w:val="20"/>
      <w:szCs w:val="20"/>
    </w:rPr>
  </w:style>
  <w:style w:type="paragraph" w:styleId="CommentSubject">
    <w:name w:val="annotation subject"/>
    <w:basedOn w:val="CommentText"/>
    <w:next w:val="CommentText"/>
    <w:link w:val="CommentSubjectChar"/>
    <w:uiPriority w:val="99"/>
    <w:semiHidden/>
    <w:unhideWhenUsed/>
    <w:rsid w:val="00D92C44"/>
    <w:rPr>
      <w:b/>
      <w:bCs/>
    </w:rPr>
  </w:style>
  <w:style w:type="character" w:customStyle="1" w:styleId="CommentSubjectChar">
    <w:name w:val="Comment Subject Char"/>
    <w:basedOn w:val="CommentTextChar"/>
    <w:link w:val="CommentSubject"/>
    <w:uiPriority w:val="99"/>
    <w:semiHidden/>
    <w:rsid w:val="00D92C44"/>
    <w:rPr>
      <w:b/>
      <w:bCs/>
      <w:sz w:val="20"/>
      <w:szCs w:val="20"/>
    </w:rPr>
  </w:style>
  <w:style w:type="paragraph" w:styleId="Header">
    <w:name w:val="header"/>
    <w:basedOn w:val="Normal"/>
    <w:link w:val="HeaderChar"/>
    <w:uiPriority w:val="99"/>
    <w:unhideWhenUsed/>
    <w:rsid w:val="00EF3085"/>
    <w:pPr>
      <w:tabs>
        <w:tab w:val="center" w:pos="4680"/>
        <w:tab w:val="right" w:pos="9360"/>
      </w:tabs>
      <w:spacing w:after="0" w:line="240" w:lineRule="auto"/>
    </w:pPr>
    <w:rPr>
      <w:rFonts w:ascii="Arial" w:eastAsia="Calibri" w:hAnsi="Arial" w:cs="Arial"/>
    </w:rPr>
  </w:style>
  <w:style w:type="character" w:customStyle="1" w:styleId="HeaderChar">
    <w:name w:val="Header Char"/>
    <w:basedOn w:val="DefaultParagraphFont"/>
    <w:link w:val="Header"/>
    <w:uiPriority w:val="99"/>
    <w:rsid w:val="00EF3085"/>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149">
      <w:bodyDiv w:val="1"/>
      <w:marLeft w:val="0"/>
      <w:marRight w:val="0"/>
      <w:marTop w:val="0"/>
      <w:marBottom w:val="0"/>
      <w:divBdr>
        <w:top w:val="none" w:sz="0" w:space="0" w:color="auto"/>
        <w:left w:val="none" w:sz="0" w:space="0" w:color="auto"/>
        <w:bottom w:val="none" w:sz="0" w:space="0" w:color="auto"/>
        <w:right w:val="none" w:sz="0" w:space="0" w:color="auto"/>
      </w:divBdr>
    </w:div>
    <w:div w:id="159931573">
      <w:bodyDiv w:val="1"/>
      <w:marLeft w:val="0"/>
      <w:marRight w:val="0"/>
      <w:marTop w:val="0"/>
      <w:marBottom w:val="0"/>
      <w:divBdr>
        <w:top w:val="none" w:sz="0" w:space="0" w:color="auto"/>
        <w:left w:val="none" w:sz="0" w:space="0" w:color="auto"/>
        <w:bottom w:val="none" w:sz="0" w:space="0" w:color="auto"/>
        <w:right w:val="none" w:sz="0" w:space="0" w:color="auto"/>
      </w:divBdr>
    </w:div>
    <w:div w:id="353382242">
      <w:bodyDiv w:val="1"/>
      <w:marLeft w:val="0"/>
      <w:marRight w:val="0"/>
      <w:marTop w:val="0"/>
      <w:marBottom w:val="0"/>
      <w:divBdr>
        <w:top w:val="none" w:sz="0" w:space="0" w:color="auto"/>
        <w:left w:val="none" w:sz="0" w:space="0" w:color="auto"/>
        <w:bottom w:val="none" w:sz="0" w:space="0" w:color="auto"/>
        <w:right w:val="none" w:sz="0" w:space="0" w:color="auto"/>
      </w:divBdr>
    </w:div>
    <w:div w:id="449932558">
      <w:bodyDiv w:val="1"/>
      <w:marLeft w:val="0"/>
      <w:marRight w:val="0"/>
      <w:marTop w:val="0"/>
      <w:marBottom w:val="0"/>
      <w:divBdr>
        <w:top w:val="none" w:sz="0" w:space="0" w:color="auto"/>
        <w:left w:val="none" w:sz="0" w:space="0" w:color="auto"/>
        <w:bottom w:val="none" w:sz="0" w:space="0" w:color="auto"/>
        <w:right w:val="none" w:sz="0" w:space="0" w:color="auto"/>
      </w:divBdr>
    </w:div>
    <w:div w:id="478501119">
      <w:bodyDiv w:val="1"/>
      <w:marLeft w:val="0"/>
      <w:marRight w:val="0"/>
      <w:marTop w:val="0"/>
      <w:marBottom w:val="0"/>
      <w:divBdr>
        <w:top w:val="none" w:sz="0" w:space="0" w:color="auto"/>
        <w:left w:val="none" w:sz="0" w:space="0" w:color="auto"/>
        <w:bottom w:val="none" w:sz="0" w:space="0" w:color="auto"/>
        <w:right w:val="none" w:sz="0" w:space="0" w:color="auto"/>
      </w:divBdr>
    </w:div>
    <w:div w:id="574631002">
      <w:bodyDiv w:val="1"/>
      <w:marLeft w:val="0"/>
      <w:marRight w:val="0"/>
      <w:marTop w:val="0"/>
      <w:marBottom w:val="0"/>
      <w:divBdr>
        <w:top w:val="none" w:sz="0" w:space="0" w:color="auto"/>
        <w:left w:val="none" w:sz="0" w:space="0" w:color="auto"/>
        <w:bottom w:val="none" w:sz="0" w:space="0" w:color="auto"/>
        <w:right w:val="none" w:sz="0" w:space="0" w:color="auto"/>
      </w:divBdr>
    </w:div>
    <w:div w:id="644165277">
      <w:bodyDiv w:val="1"/>
      <w:marLeft w:val="0"/>
      <w:marRight w:val="0"/>
      <w:marTop w:val="0"/>
      <w:marBottom w:val="0"/>
      <w:divBdr>
        <w:top w:val="none" w:sz="0" w:space="0" w:color="auto"/>
        <w:left w:val="none" w:sz="0" w:space="0" w:color="auto"/>
        <w:bottom w:val="none" w:sz="0" w:space="0" w:color="auto"/>
        <w:right w:val="none" w:sz="0" w:space="0" w:color="auto"/>
      </w:divBdr>
    </w:div>
    <w:div w:id="737438211">
      <w:bodyDiv w:val="1"/>
      <w:marLeft w:val="0"/>
      <w:marRight w:val="0"/>
      <w:marTop w:val="0"/>
      <w:marBottom w:val="0"/>
      <w:divBdr>
        <w:top w:val="none" w:sz="0" w:space="0" w:color="auto"/>
        <w:left w:val="none" w:sz="0" w:space="0" w:color="auto"/>
        <w:bottom w:val="none" w:sz="0" w:space="0" w:color="auto"/>
        <w:right w:val="none" w:sz="0" w:space="0" w:color="auto"/>
      </w:divBdr>
    </w:div>
    <w:div w:id="845245856">
      <w:bodyDiv w:val="1"/>
      <w:marLeft w:val="0"/>
      <w:marRight w:val="0"/>
      <w:marTop w:val="0"/>
      <w:marBottom w:val="0"/>
      <w:divBdr>
        <w:top w:val="none" w:sz="0" w:space="0" w:color="auto"/>
        <w:left w:val="none" w:sz="0" w:space="0" w:color="auto"/>
        <w:bottom w:val="none" w:sz="0" w:space="0" w:color="auto"/>
        <w:right w:val="none" w:sz="0" w:space="0" w:color="auto"/>
      </w:divBdr>
    </w:div>
    <w:div w:id="871188073">
      <w:bodyDiv w:val="1"/>
      <w:marLeft w:val="0"/>
      <w:marRight w:val="0"/>
      <w:marTop w:val="0"/>
      <w:marBottom w:val="0"/>
      <w:divBdr>
        <w:top w:val="none" w:sz="0" w:space="0" w:color="auto"/>
        <w:left w:val="none" w:sz="0" w:space="0" w:color="auto"/>
        <w:bottom w:val="none" w:sz="0" w:space="0" w:color="auto"/>
        <w:right w:val="none" w:sz="0" w:space="0" w:color="auto"/>
      </w:divBdr>
    </w:div>
    <w:div w:id="927038105">
      <w:bodyDiv w:val="1"/>
      <w:marLeft w:val="0"/>
      <w:marRight w:val="0"/>
      <w:marTop w:val="0"/>
      <w:marBottom w:val="0"/>
      <w:divBdr>
        <w:top w:val="none" w:sz="0" w:space="0" w:color="auto"/>
        <w:left w:val="none" w:sz="0" w:space="0" w:color="auto"/>
        <w:bottom w:val="none" w:sz="0" w:space="0" w:color="auto"/>
        <w:right w:val="none" w:sz="0" w:space="0" w:color="auto"/>
      </w:divBdr>
    </w:div>
    <w:div w:id="933706621">
      <w:bodyDiv w:val="1"/>
      <w:marLeft w:val="0"/>
      <w:marRight w:val="0"/>
      <w:marTop w:val="0"/>
      <w:marBottom w:val="0"/>
      <w:divBdr>
        <w:top w:val="none" w:sz="0" w:space="0" w:color="auto"/>
        <w:left w:val="none" w:sz="0" w:space="0" w:color="auto"/>
        <w:bottom w:val="none" w:sz="0" w:space="0" w:color="auto"/>
        <w:right w:val="none" w:sz="0" w:space="0" w:color="auto"/>
      </w:divBdr>
    </w:div>
    <w:div w:id="939144982">
      <w:bodyDiv w:val="1"/>
      <w:marLeft w:val="0"/>
      <w:marRight w:val="0"/>
      <w:marTop w:val="0"/>
      <w:marBottom w:val="0"/>
      <w:divBdr>
        <w:top w:val="none" w:sz="0" w:space="0" w:color="auto"/>
        <w:left w:val="none" w:sz="0" w:space="0" w:color="auto"/>
        <w:bottom w:val="none" w:sz="0" w:space="0" w:color="auto"/>
        <w:right w:val="none" w:sz="0" w:space="0" w:color="auto"/>
      </w:divBdr>
    </w:div>
    <w:div w:id="1129131714">
      <w:bodyDiv w:val="1"/>
      <w:marLeft w:val="0"/>
      <w:marRight w:val="0"/>
      <w:marTop w:val="0"/>
      <w:marBottom w:val="0"/>
      <w:divBdr>
        <w:top w:val="none" w:sz="0" w:space="0" w:color="auto"/>
        <w:left w:val="none" w:sz="0" w:space="0" w:color="auto"/>
        <w:bottom w:val="none" w:sz="0" w:space="0" w:color="auto"/>
        <w:right w:val="none" w:sz="0" w:space="0" w:color="auto"/>
      </w:divBdr>
    </w:div>
    <w:div w:id="1158571140">
      <w:bodyDiv w:val="1"/>
      <w:marLeft w:val="0"/>
      <w:marRight w:val="0"/>
      <w:marTop w:val="0"/>
      <w:marBottom w:val="0"/>
      <w:divBdr>
        <w:top w:val="none" w:sz="0" w:space="0" w:color="auto"/>
        <w:left w:val="none" w:sz="0" w:space="0" w:color="auto"/>
        <w:bottom w:val="none" w:sz="0" w:space="0" w:color="auto"/>
        <w:right w:val="none" w:sz="0" w:space="0" w:color="auto"/>
      </w:divBdr>
    </w:div>
    <w:div w:id="1186746082">
      <w:bodyDiv w:val="1"/>
      <w:marLeft w:val="0"/>
      <w:marRight w:val="0"/>
      <w:marTop w:val="0"/>
      <w:marBottom w:val="0"/>
      <w:divBdr>
        <w:top w:val="none" w:sz="0" w:space="0" w:color="auto"/>
        <w:left w:val="none" w:sz="0" w:space="0" w:color="auto"/>
        <w:bottom w:val="none" w:sz="0" w:space="0" w:color="auto"/>
        <w:right w:val="none" w:sz="0" w:space="0" w:color="auto"/>
      </w:divBdr>
    </w:div>
    <w:div w:id="1418208748">
      <w:bodyDiv w:val="1"/>
      <w:marLeft w:val="0"/>
      <w:marRight w:val="0"/>
      <w:marTop w:val="0"/>
      <w:marBottom w:val="0"/>
      <w:divBdr>
        <w:top w:val="none" w:sz="0" w:space="0" w:color="auto"/>
        <w:left w:val="none" w:sz="0" w:space="0" w:color="auto"/>
        <w:bottom w:val="none" w:sz="0" w:space="0" w:color="auto"/>
        <w:right w:val="none" w:sz="0" w:space="0" w:color="auto"/>
      </w:divBdr>
    </w:div>
    <w:div w:id="1488326212">
      <w:bodyDiv w:val="1"/>
      <w:marLeft w:val="0"/>
      <w:marRight w:val="0"/>
      <w:marTop w:val="0"/>
      <w:marBottom w:val="0"/>
      <w:divBdr>
        <w:top w:val="none" w:sz="0" w:space="0" w:color="auto"/>
        <w:left w:val="none" w:sz="0" w:space="0" w:color="auto"/>
        <w:bottom w:val="none" w:sz="0" w:space="0" w:color="auto"/>
        <w:right w:val="none" w:sz="0" w:space="0" w:color="auto"/>
      </w:divBdr>
    </w:div>
    <w:div w:id="1523089135">
      <w:bodyDiv w:val="1"/>
      <w:marLeft w:val="0"/>
      <w:marRight w:val="0"/>
      <w:marTop w:val="0"/>
      <w:marBottom w:val="0"/>
      <w:divBdr>
        <w:top w:val="none" w:sz="0" w:space="0" w:color="auto"/>
        <w:left w:val="none" w:sz="0" w:space="0" w:color="auto"/>
        <w:bottom w:val="none" w:sz="0" w:space="0" w:color="auto"/>
        <w:right w:val="none" w:sz="0" w:space="0" w:color="auto"/>
      </w:divBdr>
    </w:div>
    <w:div w:id="1685743692">
      <w:bodyDiv w:val="1"/>
      <w:marLeft w:val="0"/>
      <w:marRight w:val="0"/>
      <w:marTop w:val="0"/>
      <w:marBottom w:val="0"/>
      <w:divBdr>
        <w:top w:val="none" w:sz="0" w:space="0" w:color="auto"/>
        <w:left w:val="none" w:sz="0" w:space="0" w:color="auto"/>
        <w:bottom w:val="none" w:sz="0" w:space="0" w:color="auto"/>
        <w:right w:val="none" w:sz="0" w:space="0" w:color="auto"/>
      </w:divBdr>
    </w:div>
    <w:div w:id="1732579622">
      <w:bodyDiv w:val="1"/>
      <w:marLeft w:val="0"/>
      <w:marRight w:val="0"/>
      <w:marTop w:val="0"/>
      <w:marBottom w:val="0"/>
      <w:divBdr>
        <w:top w:val="none" w:sz="0" w:space="0" w:color="auto"/>
        <w:left w:val="none" w:sz="0" w:space="0" w:color="auto"/>
        <w:bottom w:val="none" w:sz="0" w:space="0" w:color="auto"/>
        <w:right w:val="none" w:sz="0" w:space="0" w:color="auto"/>
      </w:divBdr>
    </w:div>
    <w:div w:id="1755124426">
      <w:bodyDiv w:val="1"/>
      <w:marLeft w:val="0"/>
      <w:marRight w:val="0"/>
      <w:marTop w:val="0"/>
      <w:marBottom w:val="0"/>
      <w:divBdr>
        <w:top w:val="none" w:sz="0" w:space="0" w:color="auto"/>
        <w:left w:val="none" w:sz="0" w:space="0" w:color="auto"/>
        <w:bottom w:val="none" w:sz="0" w:space="0" w:color="auto"/>
        <w:right w:val="none" w:sz="0" w:space="0" w:color="auto"/>
      </w:divBdr>
    </w:div>
    <w:div w:id="1782457265">
      <w:bodyDiv w:val="1"/>
      <w:marLeft w:val="0"/>
      <w:marRight w:val="0"/>
      <w:marTop w:val="0"/>
      <w:marBottom w:val="0"/>
      <w:divBdr>
        <w:top w:val="none" w:sz="0" w:space="0" w:color="auto"/>
        <w:left w:val="none" w:sz="0" w:space="0" w:color="auto"/>
        <w:bottom w:val="none" w:sz="0" w:space="0" w:color="auto"/>
        <w:right w:val="none" w:sz="0" w:space="0" w:color="auto"/>
      </w:divBdr>
    </w:div>
    <w:div w:id="1782797949">
      <w:bodyDiv w:val="1"/>
      <w:marLeft w:val="0"/>
      <w:marRight w:val="0"/>
      <w:marTop w:val="0"/>
      <w:marBottom w:val="0"/>
      <w:divBdr>
        <w:top w:val="none" w:sz="0" w:space="0" w:color="auto"/>
        <w:left w:val="none" w:sz="0" w:space="0" w:color="auto"/>
        <w:bottom w:val="none" w:sz="0" w:space="0" w:color="auto"/>
        <w:right w:val="none" w:sz="0" w:space="0" w:color="auto"/>
      </w:divBdr>
    </w:div>
    <w:div w:id="19978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or-fsntpsvr02.kp-dor.kaiser.org\projects-groups$\SRI\PROJECTS\OSA\Programming%20Instructions\Results\PRG%20OSA%20005%20Table%202%20&amp;%20suppl%20for%20manuscript%202012-0819%20PK%20(res%202013-08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r-fsntpsvr02.kp-dor.kaiser.org\projects-groups$\SRI\PROJECTS\OSA\Programming%20Instructions\Results\PRG%20OSA%20005%20Table%202%20&amp;%20suppl%20for%20manuscript%202012-0819%20PK%20(res%202013-08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Order Set</c:v>
          </c:tx>
          <c:spPr>
            <a:solidFill>
              <a:schemeClr val="bg1">
                <a:lumMod val="75000"/>
              </a:schemeClr>
            </a:solidFill>
          </c:spPr>
          <c:invertIfNegative val="0"/>
          <c:cat>
            <c:numRef>
              <c:f>'Propensity Score 4'!$I$41:$I$57</c:f>
              <c:numCache>
                <c:formatCode>General</c:formatCode>
                <c:ptCount val="17"/>
                <c:pt idx="0">
                  <c:v>0.125</c:v>
                </c:pt>
                <c:pt idx="1">
                  <c:v>0.17499999999999999</c:v>
                </c:pt>
                <c:pt idx="2">
                  <c:v>0.22500000000000001</c:v>
                </c:pt>
                <c:pt idx="3">
                  <c:v>0.27500000000000002</c:v>
                </c:pt>
                <c:pt idx="4">
                  <c:v>0.32500000000000001</c:v>
                </c:pt>
                <c:pt idx="5">
                  <c:v>0.375</c:v>
                </c:pt>
                <c:pt idx="6">
                  <c:v>0.42499999999999999</c:v>
                </c:pt>
                <c:pt idx="7">
                  <c:v>0.47499999999999998</c:v>
                </c:pt>
                <c:pt idx="8">
                  <c:v>0.52500000000000002</c:v>
                </c:pt>
                <c:pt idx="9">
                  <c:v>0.57499999999999996</c:v>
                </c:pt>
                <c:pt idx="10">
                  <c:v>0.625</c:v>
                </c:pt>
                <c:pt idx="11">
                  <c:v>0.67500000000000004</c:v>
                </c:pt>
                <c:pt idx="12">
                  <c:v>0.72499999999999998</c:v>
                </c:pt>
                <c:pt idx="13">
                  <c:v>0.77500000000000002</c:v>
                </c:pt>
                <c:pt idx="14">
                  <c:v>0.82499999999999996</c:v>
                </c:pt>
                <c:pt idx="15">
                  <c:v>0.875</c:v>
                </c:pt>
                <c:pt idx="16">
                  <c:v>0.92500000000000004</c:v>
                </c:pt>
              </c:numCache>
            </c:numRef>
          </c:cat>
          <c:val>
            <c:numRef>
              <c:f>'Propensity Score 4'!$K$41:$K$57</c:f>
              <c:numCache>
                <c:formatCode>0.00%</c:formatCode>
                <c:ptCount val="17"/>
                <c:pt idx="0">
                  <c:v>1.1329999999999999E-3</c:v>
                </c:pt>
                <c:pt idx="1">
                  <c:v>2.2659999999999998E-3</c:v>
                </c:pt>
                <c:pt idx="2">
                  <c:v>5.3810000000000004E-3</c:v>
                </c:pt>
                <c:pt idx="3">
                  <c:v>1.7559000000000002E-2</c:v>
                </c:pt>
                <c:pt idx="4">
                  <c:v>1.5576000000000001E-2</c:v>
                </c:pt>
                <c:pt idx="5">
                  <c:v>1.5293000000000001E-2</c:v>
                </c:pt>
                <c:pt idx="6">
                  <c:v>2.2090000000000002E-2</c:v>
                </c:pt>
                <c:pt idx="7">
                  <c:v>3.1153E-2</c:v>
                </c:pt>
                <c:pt idx="8">
                  <c:v>5.6641000000000004E-2</c:v>
                </c:pt>
                <c:pt idx="9">
                  <c:v>0.114132</c:v>
                </c:pt>
                <c:pt idx="10">
                  <c:v>0.13055800000000001</c:v>
                </c:pt>
                <c:pt idx="11">
                  <c:v>0.29056899999999997</c:v>
                </c:pt>
                <c:pt idx="12">
                  <c:v>0.25545200000000001</c:v>
                </c:pt>
                <c:pt idx="13">
                  <c:v>3.3985000000000001E-2</c:v>
                </c:pt>
                <c:pt idx="14">
                  <c:v>5.0980000000000001E-3</c:v>
                </c:pt>
                <c:pt idx="15">
                  <c:v>1.9819999999999998E-3</c:v>
                </c:pt>
                <c:pt idx="16">
                  <c:v>1.1329999999999999E-3</c:v>
                </c:pt>
              </c:numCache>
            </c:numRef>
          </c:val>
        </c:ser>
        <c:dLbls>
          <c:showLegendKey val="0"/>
          <c:showVal val="0"/>
          <c:showCatName val="0"/>
          <c:showSerName val="0"/>
          <c:showPercent val="0"/>
          <c:showBubbleSize val="0"/>
        </c:dLbls>
        <c:gapWidth val="0"/>
        <c:axId val="239140224"/>
        <c:axId val="240297088"/>
      </c:barChart>
      <c:catAx>
        <c:axId val="239140224"/>
        <c:scaling>
          <c:orientation val="minMax"/>
        </c:scaling>
        <c:delete val="0"/>
        <c:axPos val="b"/>
        <c:numFmt formatCode="General" sourceLinked="1"/>
        <c:majorTickMark val="out"/>
        <c:minorTickMark val="none"/>
        <c:tickLblPos val="nextTo"/>
        <c:txPr>
          <a:bodyPr rot="2700000"/>
          <a:lstStyle/>
          <a:p>
            <a:pPr>
              <a:defRPr/>
            </a:pPr>
            <a:endParaRPr lang="en-US"/>
          </a:p>
        </c:txPr>
        <c:crossAx val="240297088"/>
        <c:crosses val="autoZero"/>
        <c:auto val="1"/>
        <c:lblAlgn val="ctr"/>
        <c:lblOffset val="100"/>
        <c:noMultiLvlLbl val="0"/>
      </c:catAx>
      <c:valAx>
        <c:axId val="240297088"/>
        <c:scaling>
          <c:orientation val="minMax"/>
          <c:max val="0.30000000000000004"/>
          <c:min val="0"/>
        </c:scaling>
        <c:delete val="0"/>
        <c:axPos val="l"/>
        <c:numFmt formatCode="0.00%" sourceLinked="1"/>
        <c:majorTickMark val="out"/>
        <c:minorTickMark val="none"/>
        <c:tickLblPos val="nextTo"/>
        <c:crossAx val="239140224"/>
        <c:crosses val="autoZero"/>
        <c:crossBetween val="between"/>
        <c:majorUnit val="5.000000000000001E-2"/>
        <c:minorUnit val="1.0000000000000002E-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v>No Order Set</c:v>
          </c:tx>
          <c:spPr>
            <a:solidFill>
              <a:schemeClr val="bg1">
                <a:lumMod val="75000"/>
              </a:schemeClr>
            </a:solidFill>
          </c:spPr>
          <c:invertIfNegative val="0"/>
          <c:cat>
            <c:numRef>
              <c:f>'Propensity Score 4'!$I$41:$I$57</c:f>
              <c:numCache>
                <c:formatCode>General</c:formatCode>
                <c:ptCount val="17"/>
                <c:pt idx="0">
                  <c:v>0.125</c:v>
                </c:pt>
                <c:pt idx="1">
                  <c:v>0.17499999999999999</c:v>
                </c:pt>
                <c:pt idx="2">
                  <c:v>0.22500000000000001</c:v>
                </c:pt>
                <c:pt idx="3">
                  <c:v>0.27500000000000002</c:v>
                </c:pt>
                <c:pt idx="4">
                  <c:v>0.32500000000000001</c:v>
                </c:pt>
                <c:pt idx="5">
                  <c:v>0.375</c:v>
                </c:pt>
                <c:pt idx="6">
                  <c:v>0.42499999999999999</c:v>
                </c:pt>
                <c:pt idx="7">
                  <c:v>0.47499999999999998</c:v>
                </c:pt>
                <c:pt idx="8">
                  <c:v>0.52500000000000002</c:v>
                </c:pt>
                <c:pt idx="9">
                  <c:v>0.57499999999999996</c:v>
                </c:pt>
                <c:pt idx="10">
                  <c:v>0.625</c:v>
                </c:pt>
                <c:pt idx="11">
                  <c:v>0.67500000000000004</c:v>
                </c:pt>
                <c:pt idx="12">
                  <c:v>0.72499999999999998</c:v>
                </c:pt>
                <c:pt idx="13">
                  <c:v>0.77500000000000002</c:v>
                </c:pt>
                <c:pt idx="14">
                  <c:v>0.82499999999999996</c:v>
                </c:pt>
                <c:pt idx="15">
                  <c:v>0.875</c:v>
                </c:pt>
                <c:pt idx="16">
                  <c:v>0.92500000000000004</c:v>
                </c:pt>
              </c:numCache>
            </c:numRef>
          </c:cat>
          <c:val>
            <c:numRef>
              <c:f>'Propensity Score 4'!$J$41:$J$57</c:f>
              <c:numCache>
                <c:formatCode>0.00%</c:formatCode>
                <c:ptCount val="17"/>
                <c:pt idx="0">
                  <c:v>2.1290000000000002E-3</c:v>
                </c:pt>
                <c:pt idx="1">
                  <c:v>1.2351000000000001E-2</c:v>
                </c:pt>
                <c:pt idx="2">
                  <c:v>4.0460000000000003E-2</c:v>
                </c:pt>
                <c:pt idx="3">
                  <c:v>6.8569000000000005E-2</c:v>
                </c:pt>
                <c:pt idx="4">
                  <c:v>3.4071999999999998E-2</c:v>
                </c:pt>
                <c:pt idx="5">
                  <c:v>3.7905000000000001E-2</c:v>
                </c:pt>
                <c:pt idx="6">
                  <c:v>4.8978000000000001E-2</c:v>
                </c:pt>
                <c:pt idx="7">
                  <c:v>6.4736000000000002E-2</c:v>
                </c:pt>
                <c:pt idx="8">
                  <c:v>8.0068E-2</c:v>
                </c:pt>
                <c:pt idx="9">
                  <c:v>0.12904599999999999</c:v>
                </c:pt>
                <c:pt idx="10">
                  <c:v>0.122658</c:v>
                </c:pt>
                <c:pt idx="11">
                  <c:v>0.186968</c:v>
                </c:pt>
                <c:pt idx="12">
                  <c:v>0.14310100000000001</c:v>
                </c:pt>
                <c:pt idx="13">
                  <c:v>2.5554E-2</c:v>
                </c:pt>
                <c:pt idx="14">
                  <c:v>2.1290000000000002E-3</c:v>
                </c:pt>
                <c:pt idx="15">
                  <c:v>8.52E-4</c:v>
                </c:pt>
                <c:pt idx="16">
                  <c:v>4.26E-4</c:v>
                </c:pt>
              </c:numCache>
            </c:numRef>
          </c:val>
        </c:ser>
        <c:dLbls>
          <c:showLegendKey val="0"/>
          <c:showVal val="0"/>
          <c:showCatName val="0"/>
          <c:showSerName val="0"/>
          <c:showPercent val="0"/>
          <c:showBubbleSize val="0"/>
        </c:dLbls>
        <c:gapWidth val="0"/>
        <c:axId val="240329472"/>
        <c:axId val="240331008"/>
      </c:barChart>
      <c:catAx>
        <c:axId val="240329472"/>
        <c:scaling>
          <c:orientation val="minMax"/>
        </c:scaling>
        <c:delete val="0"/>
        <c:axPos val="b"/>
        <c:numFmt formatCode="General" sourceLinked="1"/>
        <c:majorTickMark val="out"/>
        <c:minorTickMark val="none"/>
        <c:tickLblPos val="nextTo"/>
        <c:txPr>
          <a:bodyPr rot="2700000"/>
          <a:lstStyle/>
          <a:p>
            <a:pPr>
              <a:defRPr/>
            </a:pPr>
            <a:endParaRPr lang="en-US"/>
          </a:p>
        </c:txPr>
        <c:crossAx val="240331008"/>
        <c:crosses val="autoZero"/>
        <c:auto val="1"/>
        <c:lblAlgn val="ctr"/>
        <c:lblOffset val="100"/>
        <c:noMultiLvlLbl val="0"/>
      </c:catAx>
      <c:valAx>
        <c:axId val="240331008"/>
        <c:scaling>
          <c:orientation val="minMax"/>
          <c:max val="0.30000000000000004"/>
          <c:min val="0"/>
        </c:scaling>
        <c:delete val="0"/>
        <c:axPos val="l"/>
        <c:numFmt formatCode="0.00%" sourceLinked="1"/>
        <c:majorTickMark val="out"/>
        <c:minorTickMark val="none"/>
        <c:tickLblPos val="nextTo"/>
        <c:crossAx val="240329472"/>
        <c:crosses val="autoZero"/>
        <c:crossBetween val="between"/>
        <c:majorUnit val="5.000000000000001E-2"/>
        <c:minorUnit val="1.0000000000000002E-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7c778ee-4ec9-4ee1-a087-56dac61ecdc1">5J5PCVNCET74-7-64</_dlc_DocId>
    <_dlc_DocIdUrl xmlns="e7c778ee-4ec9-4ee1-a087-56dac61ecdc1">
      <Url>http://insidedorprod2.kp-dor.kaiser.org/sites/sri/Dashboard/_layouts/DocIdRedir.aspx?ID=5J5PCVNCET74-7-64</Url>
      <Description>5J5PCVNCET74-7-64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A40A4FDEDCCF4CAC8EDFB98BECDE34" ma:contentTypeVersion="1" ma:contentTypeDescription="Create a new document." ma:contentTypeScope="" ma:versionID="425bf14c91730295b09fc683dd236f86">
  <xsd:schema xmlns:xsd="http://www.w3.org/2001/XMLSchema" xmlns:xs="http://www.w3.org/2001/XMLSchema" xmlns:p="http://schemas.microsoft.com/office/2006/metadata/properties" xmlns:ns2="e7c778ee-4ec9-4ee1-a087-56dac61ecdc1" targetNamespace="http://schemas.microsoft.com/office/2006/metadata/properties" ma:root="true" ma:fieldsID="31d7d8eb64cf15b94af10109938b6a2b" ns2:_="">
    <xsd:import namespace="e7c778ee-4ec9-4ee1-a087-56dac61ecd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78ee-4ec9-4ee1-a087-56dac61e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7C45B-3605-441C-B398-152A685F1344}">
  <ds:schemaRefs>
    <ds:schemaRef ds:uri="http://schemas.microsoft.com/office/2006/metadata/properties"/>
    <ds:schemaRef ds:uri="http://schemas.microsoft.com/office/infopath/2007/PartnerControls"/>
    <ds:schemaRef ds:uri="e7c778ee-4ec9-4ee1-a087-56dac61ecdc1"/>
  </ds:schemaRefs>
</ds:datastoreItem>
</file>

<file path=customXml/itemProps2.xml><?xml version="1.0" encoding="utf-8"?>
<ds:datastoreItem xmlns:ds="http://schemas.openxmlformats.org/officeDocument/2006/customXml" ds:itemID="{06DC9391-50C7-4F81-BC5A-684BC7872D0A}">
  <ds:schemaRefs>
    <ds:schemaRef ds:uri="http://schemas.microsoft.com/sharepoint/events"/>
  </ds:schemaRefs>
</ds:datastoreItem>
</file>

<file path=customXml/itemProps3.xml><?xml version="1.0" encoding="utf-8"?>
<ds:datastoreItem xmlns:ds="http://schemas.openxmlformats.org/officeDocument/2006/customXml" ds:itemID="{54248CBF-DBBD-4800-A6A6-7182930C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78ee-4ec9-4ee1-a087-56dac61ec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C7A07-34B1-44B7-831A-8788537D6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Gardner</dc:creator>
  <cp:lastModifiedBy>CE</cp:lastModifiedBy>
  <cp:revision>3</cp:revision>
  <dcterms:created xsi:type="dcterms:W3CDTF">2013-12-30T00:32:00Z</dcterms:created>
  <dcterms:modified xsi:type="dcterms:W3CDTF">2013-12-30T00:39:00Z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0x010100F4A40A4FDEDCCF4CAC8EDFB98BECDE34</vt:lpwstr>
  </property>
  <property fmtid="{D5CDD505-2E9C-101B-9397-08002B2CF9AE}" pid="3" name="_dlc_DocIdItemGuid">
    <vt:lpwstr>2b6bd5e6-a74a-47ac-acf6-f4251a1075a4</vt:lpwstr>
  </property>
</Properties>
</file>