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7" w:rsidRDefault="00BB21B7" w:rsidP="00E55500">
      <w:pPr>
        <w:spacing w:after="0" w:line="48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 w:rsidRPr="00BB21B7">
        <w:rPr>
          <w:rFonts w:ascii="Times New Roman" w:hAnsi="Times New Roman" w:cs="Times New Roman"/>
          <w:b/>
          <w:sz w:val="24"/>
          <w:szCs w:val="24"/>
        </w:rPr>
        <w:t xml:space="preserve">E-APPENDIX </w:t>
      </w:r>
      <w:r w:rsidR="0078368D">
        <w:rPr>
          <w:rFonts w:ascii="Times New Roman" w:hAnsi="Times New Roman" w:cs="Times New Roman"/>
          <w:b/>
          <w:sz w:val="24"/>
          <w:szCs w:val="24"/>
        </w:rPr>
        <w:t>A</w:t>
      </w:r>
      <w:r w:rsidRPr="00BB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B7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BB21B7">
        <w:rPr>
          <w:rFonts w:ascii="Times New Roman" w:hAnsi="Times New Roman" w:cs="Times New Roman"/>
          <w:b/>
          <w:sz w:val="24"/>
          <w:szCs w:val="24"/>
        </w:rPr>
        <w:tab/>
      </w:r>
      <w:r w:rsidR="005A159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5A159C">
        <w:rPr>
          <w:rFonts w:ascii="Times New Roman" w:hAnsi="Times New Roman" w:cs="Times New Roman"/>
          <w:b/>
          <w:sz w:val="24"/>
          <w:szCs w:val="24"/>
        </w:rPr>
        <w:t>CareWell</w:t>
      </w:r>
      <w:proofErr w:type="spellEnd"/>
      <w:r w:rsidR="005A159C">
        <w:rPr>
          <w:rFonts w:ascii="Times New Roman" w:hAnsi="Times New Roman" w:cs="Times New Roman"/>
          <w:b/>
          <w:sz w:val="24"/>
          <w:szCs w:val="24"/>
        </w:rPr>
        <w:t xml:space="preserve"> in Hospital program – before-after study</w:t>
      </w:r>
    </w:p>
    <w:p w:rsidR="00E55500" w:rsidRDefault="00E55500" w:rsidP="00E55500">
      <w:pPr>
        <w:spacing w:after="0" w:line="48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</w:p>
    <w:p w:rsidR="0078368D" w:rsidRPr="0078368D" w:rsidRDefault="0078368D" w:rsidP="00E55500">
      <w:pPr>
        <w:spacing w:after="0" w:line="48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78368D" w:rsidRPr="003A3337" w:rsidRDefault="0078368D" w:rsidP="00E555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 in Hospital program (CWH) is a project of the National Care for the Elderly Program, which is coordinated by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ZonMw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, the Netherlands, Organization of Health Research and Development. The aim of CWH is to improve the quality, safety, and efficiency of hospital care for elderly </w:t>
      </w:r>
      <w:r w:rsidR="00840A9B">
        <w:rPr>
          <w:rFonts w:ascii="Times New Roman" w:hAnsi="Times New Roman" w:cs="Times New Roman"/>
          <w:sz w:val="24"/>
          <w:szCs w:val="24"/>
        </w:rPr>
        <w:t xml:space="preserve">patients by </w:t>
      </w:r>
      <w:r w:rsidR="00840A9B">
        <w:rPr>
          <w:rFonts w:ascii="Times New Roman" w:hAnsi="Times New Roman"/>
          <w:sz w:val="24"/>
          <w:szCs w:val="24"/>
        </w:rPr>
        <w:t>creating</w:t>
      </w:r>
      <w:r w:rsidRPr="003A3337">
        <w:rPr>
          <w:rFonts w:ascii="Times New Roman" w:hAnsi="Times New Roman"/>
          <w:sz w:val="24"/>
          <w:szCs w:val="24"/>
        </w:rPr>
        <w:t xml:space="preserve"> a tailored care plan (the </w:t>
      </w:r>
      <w:proofErr w:type="spellStart"/>
      <w:r w:rsidRPr="003A3337">
        <w:rPr>
          <w:rFonts w:ascii="Times New Roman" w:hAnsi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/>
          <w:sz w:val="24"/>
          <w:szCs w:val="24"/>
        </w:rPr>
        <w:t xml:space="preserve"> plan) for all inpatients age</w:t>
      </w:r>
      <w:r>
        <w:rPr>
          <w:rFonts w:ascii="Times New Roman" w:hAnsi="Times New Roman"/>
          <w:sz w:val="24"/>
          <w:szCs w:val="24"/>
        </w:rPr>
        <w:t>d</w:t>
      </w:r>
      <w:r w:rsidRPr="003A3337">
        <w:rPr>
          <w:rFonts w:ascii="Times New Roman" w:hAnsi="Times New Roman"/>
          <w:sz w:val="24"/>
          <w:szCs w:val="24"/>
        </w:rPr>
        <w:t xml:space="preserve"> 70 years and older who are identified as being frail, in order to ensure optimum prevention strategies for hospital-associated and </w:t>
      </w:r>
      <w:proofErr w:type="spellStart"/>
      <w:r w:rsidRPr="003A3337">
        <w:rPr>
          <w:rFonts w:ascii="Times New Roman" w:hAnsi="Times New Roman"/>
          <w:sz w:val="24"/>
          <w:szCs w:val="24"/>
        </w:rPr>
        <w:t>peri</w:t>
      </w:r>
      <w:proofErr w:type="spellEnd"/>
      <w:r w:rsidRPr="003A3337">
        <w:rPr>
          <w:rFonts w:ascii="Times New Roman" w:hAnsi="Times New Roman"/>
          <w:sz w:val="24"/>
          <w:szCs w:val="24"/>
        </w:rPr>
        <w:t>-operative complications</w:t>
      </w:r>
      <w:r w:rsidRPr="003A3337">
        <w:rPr>
          <w:rFonts w:ascii="Times New Roman" w:hAnsi="Times New Roman" w:cs="Times New Roman"/>
          <w:sz w:val="24"/>
          <w:szCs w:val="24"/>
        </w:rPr>
        <w:t xml:space="preserve">. The CWH program consists of: </w:t>
      </w:r>
    </w:p>
    <w:p w:rsidR="0078368D" w:rsidRPr="003A3337" w:rsidRDefault="0078368D" w:rsidP="00E55500">
      <w:pPr>
        <w:pStyle w:val="Lijstalinea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 xml:space="preserve">Initial screening </w:t>
      </w:r>
      <w:r w:rsidR="00840A9B">
        <w:rPr>
          <w:rFonts w:ascii="Times New Roman" w:hAnsi="Times New Roman" w:cs="Times New Roman"/>
          <w:sz w:val="24"/>
          <w:szCs w:val="24"/>
        </w:rPr>
        <w:t xml:space="preserve">of every patient age 70 years and older </w:t>
      </w:r>
      <w:r w:rsidRPr="003A3337">
        <w:rPr>
          <w:rFonts w:ascii="Times New Roman" w:hAnsi="Times New Roman" w:cs="Times New Roman"/>
          <w:sz w:val="24"/>
          <w:szCs w:val="24"/>
        </w:rPr>
        <w:t>by the nurses</w:t>
      </w:r>
      <w:r w:rsidR="00840A9B">
        <w:rPr>
          <w:rFonts w:ascii="Times New Roman" w:hAnsi="Times New Roman" w:cs="Times New Roman"/>
          <w:sz w:val="24"/>
          <w:szCs w:val="24"/>
        </w:rPr>
        <w:t xml:space="preserve"> for a risk of functional decline at or before admission. I</w:t>
      </w:r>
      <w:r w:rsidRPr="003A3337">
        <w:rPr>
          <w:rFonts w:ascii="Times New Roman" w:hAnsi="Times New Roman" w:cs="Times New Roman"/>
          <w:sz w:val="24"/>
          <w:szCs w:val="24"/>
        </w:rPr>
        <w:t>f a patient is at risk for functional decline or adverse events</w:t>
      </w:r>
      <w:r w:rsidR="00840A9B">
        <w:rPr>
          <w:rFonts w:ascii="Times New Roman" w:hAnsi="Times New Roman" w:cs="Times New Roman"/>
          <w:sz w:val="24"/>
          <w:szCs w:val="24"/>
        </w:rPr>
        <w:t xml:space="preserve"> (delirium, malnutrition, falls or physical disabilities)</w:t>
      </w:r>
      <w:r w:rsidRPr="003A3337">
        <w:rPr>
          <w:rFonts w:ascii="Times New Roman" w:hAnsi="Times New Roman" w:cs="Times New Roman"/>
          <w:sz w:val="24"/>
          <w:szCs w:val="24"/>
        </w:rPr>
        <w:t>:</w:t>
      </w:r>
    </w:p>
    <w:p w:rsidR="0078368D" w:rsidRPr="003A3337" w:rsidRDefault="0078368D" w:rsidP="00E55500">
      <w:pPr>
        <w:pStyle w:val="Lijstalinea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Secondary screening by a geriatric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40DD">
        <w:rPr>
          <w:rFonts w:ascii="Times New Roman" w:hAnsi="Times New Roman" w:cs="Times New Roman"/>
          <w:sz w:val="24"/>
          <w:szCs w:val="24"/>
        </w:rPr>
        <w:t xml:space="preserve"> nurse. T</w:t>
      </w:r>
      <w:bookmarkStart w:id="0" w:name="_GoBack"/>
      <w:bookmarkEnd w:id="0"/>
      <w:r w:rsidR="00840A9B" w:rsidRPr="00BC08AB">
        <w:rPr>
          <w:rFonts w:ascii="Times New Roman" w:hAnsi="Times New Roman" w:cs="Times New Roman"/>
          <w:sz w:val="24"/>
          <w:szCs w:val="24"/>
        </w:rPr>
        <w:t xml:space="preserve">he Geriatrics nurse determines whether the patient </w:t>
      </w:r>
      <w:r w:rsidR="00840A9B">
        <w:rPr>
          <w:rFonts w:ascii="Times New Roman" w:hAnsi="Times New Roman" w:cs="Times New Roman"/>
          <w:sz w:val="24"/>
          <w:szCs w:val="24"/>
        </w:rPr>
        <w:t>is</w:t>
      </w:r>
      <w:r w:rsidR="00840A9B" w:rsidRPr="00BC08AB">
        <w:rPr>
          <w:rFonts w:ascii="Times New Roman" w:hAnsi="Times New Roman" w:cs="Times New Roman"/>
          <w:sz w:val="24"/>
          <w:szCs w:val="24"/>
        </w:rPr>
        <w:t xml:space="preserve"> frail or not and would benefit from the CWH program, primarily based on her clinical judgment</w:t>
      </w:r>
      <w:r w:rsidR="00840A9B">
        <w:rPr>
          <w:rFonts w:ascii="Times New Roman" w:hAnsi="Times New Roman" w:cs="Times New Roman"/>
          <w:sz w:val="24"/>
          <w:szCs w:val="24"/>
        </w:rPr>
        <w:t xml:space="preserve"> after reviewing </w:t>
      </w:r>
      <w:r w:rsidR="00840A9B" w:rsidRPr="003A3337">
        <w:rPr>
          <w:rFonts w:ascii="Times New Roman" w:hAnsi="Times New Roman" w:cs="Times New Roman"/>
          <w:sz w:val="24"/>
          <w:szCs w:val="24"/>
        </w:rPr>
        <w:t xml:space="preserve">the nursing and medical file (including medication) and a brief interview with the patient. </w:t>
      </w:r>
      <w:r w:rsidR="00840A9B">
        <w:rPr>
          <w:rFonts w:ascii="Times New Roman" w:hAnsi="Times New Roman" w:cs="Times New Roman"/>
          <w:sz w:val="24"/>
          <w:szCs w:val="24"/>
        </w:rPr>
        <w:t>I</w:t>
      </w:r>
      <w:r w:rsidRPr="003A3337">
        <w:rPr>
          <w:rFonts w:ascii="Times New Roman" w:hAnsi="Times New Roman" w:cs="Times New Roman"/>
          <w:sz w:val="24"/>
          <w:szCs w:val="24"/>
        </w:rPr>
        <w:t xml:space="preserve">f the patient is judged to be frail: </w:t>
      </w:r>
    </w:p>
    <w:p w:rsidR="0078368D" w:rsidRPr="003A3337" w:rsidRDefault="0078368D" w:rsidP="00E55500">
      <w:pPr>
        <w:pStyle w:val="Lijstalinea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 xml:space="preserve">Creation of a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 plan by the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 team, including: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A medication review by the geriatrician;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If necessary, a medical history by proxy;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If necessary, a comprehensive geriatric assessment by the geriatrician;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If necessary, discuss the patient in a multidisciplinary meeting;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>If necessary, involvement of a CWH volunteers coordinator who instructs trained volunteers to visit patients and perform cognitive and physical stimulating activities;</w:t>
      </w:r>
    </w:p>
    <w:p w:rsidR="0078368D" w:rsidRPr="003A3337" w:rsidRDefault="0078368D" w:rsidP="00E55500">
      <w:pPr>
        <w:pStyle w:val="Lijstalinea"/>
        <w:numPr>
          <w:ilvl w:val="2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3A3337">
        <w:rPr>
          <w:rFonts w:ascii="Times New Roman" w:hAnsi="Times New Roman" w:cs="Times New Roman"/>
          <w:sz w:val="24"/>
          <w:szCs w:val="24"/>
        </w:rPr>
        <w:t>ollow-up of the patient during hospital admission;</w:t>
      </w:r>
    </w:p>
    <w:p w:rsidR="0078368D" w:rsidRDefault="0078368D" w:rsidP="00E55500">
      <w:pPr>
        <w:pStyle w:val="Lijstalinea"/>
        <w:numPr>
          <w:ilvl w:val="2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A3337">
        <w:rPr>
          <w:rFonts w:ascii="Times New Roman" w:hAnsi="Times New Roman" w:cs="Times New Roman"/>
          <w:sz w:val="24"/>
          <w:szCs w:val="24"/>
        </w:rPr>
        <w:t xml:space="preserve">n updated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 plan upon discharge by the geriatrician.</w:t>
      </w:r>
    </w:p>
    <w:p w:rsidR="00840A9B" w:rsidRPr="00840A9B" w:rsidRDefault="00840A9B" w:rsidP="00E55500">
      <w:pPr>
        <w:spacing w:after="0" w:line="48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A3337">
        <w:rPr>
          <w:rFonts w:ascii="Times New Roman" w:hAnsi="Times New Roman" w:cs="Times New Roman"/>
          <w:sz w:val="24"/>
          <w:szCs w:val="24"/>
        </w:rPr>
        <w:t>CareWell</w:t>
      </w:r>
      <w:proofErr w:type="spellEnd"/>
      <w:r w:rsidRPr="003A3337">
        <w:rPr>
          <w:rFonts w:ascii="Times New Roman" w:hAnsi="Times New Roman" w:cs="Times New Roman"/>
          <w:sz w:val="24"/>
          <w:szCs w:val="24"/>
        </w:rPr>
        <w:t xml:space="preserve"> plan contains recommendations about care and 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3337">
        <w:rPr>
          <w:rFonts w:ascii="Times New Roman" w:hAnsi="Times New Roman" w:cs="Times New Roman"/>
          <w:sz w:val="24"/>
          <w:szCs w:val="24"/>
        </w:rPr>
        <w:t xml:space="preserve">being provided by the geriatric consultation team, to which nurses and physicians should adhere. These recommendations are categorized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927AC">
        <w:rPr>
          <w:rFonts w:ascii="Times New Roman" w:hAnsi="Times New Roman" w:cs="Times New Roman"/>
          <w:sz w:val="24"/>
          <w:szCs w:val="24"/>
        </w:rPr>
        <w:t xml:space="preserve"> domains of</w:t>
      </w:r>
      <w:r w:rsidRPr="003A3337">
        <w:rPr>
          <w:rFonts w:ascii="Times New Roman" w:hAnsi="Times New Roman" w:cs="Times New Roman"/>
          <w:sz w:val="24"/>
          <w:szCs w:val="24"/>
        </w:rPr>
        <w:t xml:space="preserve"> somatic problems, physical functioning, social environment, psychosocial functioning, and communication.</w:t>
      </w:r>
    </w:p>
    <w:p w:rsidR="0078368D" w:rsidRPr="0078368D" w:rsidRDefault="0078368D" w:rsidP="00E55500">
      <w:pPr>
        <w:pStyle w:val="Lijstalinea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68D">
        <w:rPr>
          <w:rFonts w:ascii="Times New Roman" w:hAnsi="Times New Roman" w:cs="Times New Roman"/>
          <w:sz w:val="24"/>
          <w:szCs w:val="24"/>
        </w:rPr>
        <w:t>Education of the nurses and physicians by the geriatric consultation team.</w:t>
      </w:r>
    </w:p>
    <w:p w:rsidR="00BC08AB" w:rsidRPr="00BC08AB" w:rsidRDefault="00BC08AB" w:rsidP="00E5550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</w:t>
      </w:r>
    </w:p>
    <w:p w:rsidR="00145438" w:rsidRPr="005A159C" w:rsidRDefault="00BC08AB" w:rsidP="00E555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8AB">
        <w:rPr>
          <w:rFonts w:ascii="Times New Roman" w:hAnsi="Times New Roman" w:cs="Times New Roman"/>
          <w:sz w:val="24"/>
          <w:szCs w:val="24"/>
        </w:rPr>
        <w:t>CWH was evaluated in a before-after study</w:t>
      </w:r>
      <w:r w:rsidR="009854A0">
        <w:rPr>
          <w:rFonts w:ascii="Times New Roman" w:hAnsi="Times New Roman" w:cs="Times New Roman"/>
          <w:sz w:val="24"/>
          <w:szCs w:val="24"/>
        </w:rPr>
        <w:t xml:space="preserve"> which was performed in </w:t>
      </w:r>
      <w:r w:rsidR="00E55500">
        <w:rPr>
          <w:rFonts w:ascii="Times New Roman" w:hAnsi="Times New Roman" w:cs="Times New Roman"/>
          <w:sz w:val="24"/>
          <w:szCs w:val="24"/>
        </w:rPr>
        <w:t>2</w:t>
      </w:r>
      <w:r w:rsidR="009854A0" w:rsidRPr="003C4BC1">
        <w:rPr>
          <w:rFonts w:ascii="Times New Roman" w:hAnsi="Times New Roman" w:cs="Times New Roman"/>
          <w:sz w:val="24"/>
          <w:szCs w:val="24"/>
        </w:rPr>
        <w:t xml:space="preserve"> surgical departments and </w:t>
      </w:r>
      <w:r w:rsidR="00E55500">
        <w:rPr>
          <w:rFonts w:ascii="Times New Roman" w:hAnsi="Times New Roman" w:cs="Times New Roman"/>
          <w:sz w:val="24"/>
          <w:szCs w:val="24"/>
        </w:rPr>
        <w:t>1</w:t>
      </w:r>
      <w:r w:rsidR="009854A0" w:rsidRPr="003C4BC1">
        <w:rPr>
          <w:rFonts w:ascii="Times New Roman" w:hAnsi="Times New Roman" w:cs="Times New Roman"/>
          <w:sz w:val="24"/>
          <w:szCs w:val="24"/>
        </w:rPr>
        <w:t xml:space="preserve"> internal medicine department </w:t>
      </w:r>
      <w:r w:rsidR="009854A0">
        <w:rPr>
          <w:rFonts w:ascii="Times New Roman" w:hAnsi="Times New Roman" w:cs="Times New Roman"/>
          <w:sz w:val="24"/>
          <w:szCs w:val="24"/>
        </w:rPr>
        <w:t>at</w:t>
      </w:r>
      <w:r w:rsidR="009854A0" w:rsidRPr="003C4BC1">
        <w:rPr>
          <w:rFonts w:ascii="Times New Roman" w:hAnsi="Times New Roman" w:cs="Times New Roman"/>
          <w:sz w:val="24"/>
          <w:szCs w:val="24"/>
        </w:rPr>
        <w:t xml:space="preserve"> Radboud University Medical Cent</w:t>
      </w:r>
      <w:r w:rsidR="009854A0">
        <w:rPr>
          <w:rFonts w:ascii="Times New Roman" w:hAnsi="Times New Roman" w:cs="Times New Roman"/>
          <w:sz w:val="24"/>
          <w:szCs w:val="24"/>
        </w:rPr>
        <w:t>er</w:t>
      </w:r>
      <w:r w:rsidR="009854A0" w:rsidRPr="003C4BC1">
        <w:rPr>
          <w:rFonts w:ascii="Times New Roman" w:hAnsi="Times New Roman" w:cs="Times New Roman"/>
          <w:sz w:val="24"/>
          <w:szCs w:val="24"/>
        </w:rPr>
        <w:t xml:space="preserve">, </w:t>
      </w:r>
      <w:r w:rsidR="009854A0">
        <w:rPr>
          <w:rFonts w:ascii="Times New Roman" w:hAnsi="Times New Roman" w:cs="Times New Roman"/>
          <w:sz w:val="24"/>
          <w:szCs w:val="24"/>
        </w:rPr>
        <w:t>Nijmegen, T</w:t>
      </w:r>
      <w:r w:rsidR="009854A0" w:rsidRPr="003C4BC1">
        <w:rPr>
          <w:rFonts w:ascii="Times New Roman" w:hAnsi="Times New Roman" w:cs="Times New Roman"/>
          <w:sz w:val="24"/>
          <w:szCs w:val="24"/>
        </w:rPr>
        <w:t>he Netherlands</w:t>
      </w:r>
      <w:r w:rsidR="009854A0" w:rsidRPr="00BC08AB">
        <w:rPr>
          <w:rFonts w:ascii="Times New Roman" w:hAnsi="Times New Roman" w:cs="Times New Roman"/>
          <w:sz w:val="24"/>
          <w:szCs w:val="24"/>
        </w:rPr>
        <w:t xml:space="preserve"> </w:t>
      </w:r>
      <w:r w:rsidR="00E55500">
        <w:rPr>
          <w:rFonts w:ascii="Times New Roman" w:hAnsi="Times New Roman" w:cs="Times New Roman"/>
          <w:sz w:val="24"/>
          <w:szCs w:val="24"/>
        </w:rPr>
        <w:t>(1 January 2011–</w:t>
      </w:r>
      <w:r w:rsidRPr="00BC08AB">
        <w:rPr>
          <w:rFonts w:ascii="Times New Roman" w:hAnsi="Times New Roman" w:cs="Times New Roman"/>
          <w:sz w:val="24"/>
          <w:szCs w:val="24"/>
        </w:rPr>
        <w:t>1 May</w:t>
      </w:r>
      <w:r w:rsidR="00E55500">
        <w:rPr>
          <w:rFonts w:ascii="Times New Roman" w:hAnsi="Times New Roman" w:cs="Times New Roman"/>
          <w:sz w:val="24"/>
          <w:szCs w:val="24"/>
        </w:rPr>
        <w:t xml:space="preserve"> 2011 and 1 March 2012–</w:t>
      </w:r>
      <w:r w:rsidRPr="00BC08AB">
        <w:rPr>
          <w:rFonts w:ascii="Times New Roman" w:hAnsi="Times New Roman" w:cs="Times New Roman"/>
          <w:sz w:val="24"/>
          <w:szCs w:val="24"/>
        </w:rPr>
        <w:t>1 July 2012).</w:t>
      </w:r>
      <w:r w:rsidR="00E55500">
        <w:rPr>
          <w:rFonts w:ascii="Times New Roman" w:hAnsi="Times New Roman" w:cs="Times New Roman"/>
          <w:sz w:val="24"/>
          <w:szCs w:val="24"/>
        </w:rPr>
        <w:t xml:space="preserve"> The 3</w:t>
      </w:r>
      <w:r w:rsidR="00E55500" w:rsidRPr="003C4BC1">
        <w:rPr>
          <w:rFonts w:ascii="Times New Roman" w:hAnsi="Times New Roman" w:cs="Times New Roman"/>
          <w:sz w:val="24"/>
          <w:szCs w:val="24"/>
        </w:rPr>
        <w:t xml:space="preserve"> departments represent the medical specialties</w:t>
      </w:r>
      <w:r w:rsidR="00E55500">
        <w:rPr>
          <w:rFonts w:ascii="Times New Roman" w:hAnsi="Times New Roman" w:cs="Times New Roman"/>
          <w:sz w:val="24"/>
          <w:szCs w:val="24"/>
        </w:rPr>
        <w:t>:</w:t>
      </w:r>
      <w:r w:rsidR="00E55500" w:rsidRPr="003C4BC1">
        <w:rPr>
          <w:rFonts w:ascii="Times New Roman" w:hAnsi="Times New Roman" w:cs="Times New Roman"/>
          <w:sz w:val="24"/>
          <w:szCs w:val="24"/>
        </w:rPr>
        <w:t xml:space="preserve"> vascular surgery, trauma surgery, abdominal oncology </w:t>
      </w:r>
      <w:r w:rsidR="00E55500">
        <w:rPr>
          <w:rFonts w:ascii="Times New Roman" w:hAnsi="Times New Roman" w:cs="Times New Roman"/>
          <w:sz w:val="24"/>
          <w:szCs w:val="24"/>
        </w:rPr>
        <w:t>and</w:t>
      </w:r>
      <w:r w:rsidR="00E55500" w:rsidRPr="003C4BC1">
        <w:rPr>
          <w:rFonts w:ascii="Times New Roman" w:hAnsi="Times New Roman" w:cs="Times New Roman"/>
          <w:sz w:val="24"/>
          <w:szCs w:val="24"/>
        </w:rPr>
        <w:t xml:space="preserve"> surgical oncology (50 beds); cardiothoracic surgery (16 beds) </w:t>
      </w:r>
      <w:r w:rsidR="00E55500">
        <w:rPr>
          <w:rFonts w:ascii="Times New Roman" w:hAnsi="Times New Roman" w:cs="Times New Roman"/>
          <w:sz w:val="24"/>
          <w:szCs w:val="24"/>
        </w:rPr>
        <w:t>and</w:t>
      </w:r>
      <w:r w:rsidR="00E55500" w:rsidRPr="003C4BC1">
        <w:rPr>
          <w:rFonts w:ascii="Times New Roman" w:hAnsi="Times New Roman" w:cs="Times New Roman"/>
          <w:sz w:val="24"/>
          <w:szCs w:val="24"/>
        </w:rPr>
        <w:t xml:space="preserve"> lung diseases (16 beds); rheumatic diseases (7 beds), infectious diseases </w:t>
      </w:r>
      <w:r w:rsidR="00E55500">
        <w:rPr>
          <w:rFonts w:ascii="Times New Roman" w:hAnsi="Times New Roman" w:cs="Times New Roman"/>
          <w:sz w:val="24"/>
          <w:szCs w:val="24"/>
        </w:rPr>
        <w:t>and</w:t>
      </w:r>
      <w:r w:rsidR="00E55500" w:rsidRPr="003C4BC1">
        <w:rPr>
          <w:rFonts w:ascii="Times New Roman" w:hAnsi="Times New Roman" w:cs="Times New Roman"/>
          <w:sz w:val="24"/>
          <w:szCs w:val="24"/>
        </w:rPr>
        <w:t xml:space="preserve"> general internal medicine (27 beds).</w:t>
      </w:r>
      <w:r w:rsidR="00E55500">
        <w:rPr>
          <w:rFonts w:ascii="Times New Roman" w:hAnsi="Times New Roman" w:cs="Times New Roman"/>
          <w:sz w:val="24"/>
          <w:szCs w:val="24"/>
        </w:rPr>
        <w:t xml:space="preserve"> </w:t>
      </w:r>
      <w:r w:rsidR="009854A0">
        <w:rPr>
          <w:rFonts w:ascii="Times New Roman" w:hAnsi="Times New Roman" w:cs="Times New Roman"/>
          <w:sz w:val="24"/>
          <w:szCs w:val="24"/>
        </w:rPr>
        <w:t xml:space="preserve">Patients were eligible for the study if they were </w:t>
      </w:r>
      <w:r w:rsidR="009854A0" w:rsidRPr="003C4BC1">
        <w:rPr>
          <w:rFonts w:ascii="Times New Roman" w:hAnsi="Times New Roman"/>
          <w:sz w:val="24"/>
          <w:szCs w:val="24"/>
        </w:rPr>
        <w:t>70 years or older and when their expected length of stay was longer than 48 hours.</w:t>
      </w:r>
      <w:r w:rsidR="00AE5EDE">
        <w:rPr>
          <w:rFonts w:ascii="Times New Roman" w:hAnsi="Times New Roman"/>
          <w:sz w:val="24"/>
          <w:szCs w:val="24"/>
        </w:rPr>
        <w:t xml:space="preserve"> </w:t>
      </w:r>
      <w:r w:rsidR="00AE5EDE" w:rsidRPr="003C4BC1">
        <w:rPr>
          <w:rFonts w:ascii="Times New Roman" w:hAnsi="Times New Roman"/>
          <w:sz w:val="24"/>
          <w:szCs w:val="24"/>
        </w:rPr>
        <w:t xml:space="preserve">Patients who did not </w:t>
      </w:r>
      <w:r w:rsidR="00AE5EDE">
        <w:rPr>
          <w:rFonts w:ascii="Times New Roman" w:hAnsi="Times New Roman"/>
          <w:sz w:val="24"/>
          <w:szCs w:val="24"/>
        </w:rPr>
        <w:t>understand</w:t>
      </w:r>
      <w:r w:rsidR="00AE5EDE" w:rsidRPr="003C4BC1">
        <w:rPr>
          <w:rFonts w:ascii="Times New Roman" w:hAnsi="Times New Roman"/>
          <w:sz w:val="24"/>
          <w:szCs w:val="24"/>
        </w:rPr>
        <w:t xml:space="preserve"> Dutch, were admitted less than 48 hours, had a contagious disease, were terminally ill, </w:t>
      </w:r>
      <w:r w:rsidR="00AE5EDE">
        <w:rPr>
          <w:rFonts w:ascii="Times New Roman" w:hAnsi="Times New Roman"/>
          <w:sz w:val="24"/>
          <w:szCs w:val="24"/>
        </w:rPr>
        <w:t>and/</w:t>
      </w:r>
      <w:r w:rsidR="00AE5EDE" w:rsidRPr="003C4BC1">
        <w:rPr>
          <w:rFonts w:ascii="Times New Roman" w:hAnsi="Times New Roman"/>
          <w:sz w:val="24"/>
          <w:szCs w:val="24"/>
        </w:rPr>
        <w:t>or were treated by a medical specialist from another departme</w:t>
      </w:r>
      <w:r w:rsidR="00735D6B">
        <w:rPr>
          <w:rFonts w:ascii="Times New Roman" w:hAnsi="Times New Roman"/>
          <w:sz w:val="24"/>
          <w:szCs w:val="24"/>
        </w:rPr>
        <w:t>nt were excluded from the trial, but could receive the intervention.</w:t>
      </w:r>
      <w:r w:rsidR="00EA1856">
        <w:rPr>
          <w:rFonts w:ascii="Times New Roman" w:hAnsi="Times New Roman"/>
          <w:sz w:val="24"/>
          <w:szCs w:val="24"/>
        </w:rPr>
        <w:t xml:space="preserve"> During the after-measurement period, all patients who were judged to be frail could receive parts of or the complete CWH interventions. </w:t>
      </w:r>
    </w:p>
    <w:sectPr w:rsidR="00145438" w:rsidRPr="005A159C" w:rsidSect="00702E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6F"/>
    <w:multiLevelType w:val="hybridMultilevel"/>
    <w:tmpl w:val="CFC2C63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A0E2F"/>
    <w:multiLevelType w:val="hybridMultilevel"/>
    <w:tmpl w:val="C8BA3DE0"/>
    <w:lvl w:ilvl="0" w:tplc="2A8A7C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21A3"/>
    <w:multiLevelType w:val="hybridMultilevel"/>
    <w:tmpl w:val="87B83810"/>
    <w:lvl w:ilvl="0" w:tplc="7BA874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A6166F"/>
    <w:multiLevelType w:val="hybridMultilevel"/>
    <w:tmpl w:val="CFC2C6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14F6"/>
    <w:multiLevelType w:val="hybridMultilevel"/>
    <w:tmpl w:val="618A4E04"/>
    <w:lvl w:ilvl="0" w:tplc="70062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C1549"/>
    <w:multiLevelType w:val="hybridMultilevel"/>
    <w:tmpl w:val="73669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D3A"/>
    <w:multiLevelType w:val="hybridMultilevel"/>
    <w:tmpl w:val="7B0AB85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001E69"/>
    <w:multiLevelType w:val="hybridMultilevel"/>
    <w:tmpl w:val="2CAADB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A22CB"/>
    <w:multiLevelType w:val="hybridMultilevel"/>
    <w:tmpl w:val="31D05068"/>
    <w:lvl w:ilvl="0" w:tplc="08B20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B1667EA"/>
    <w:multiLevelType w:val="hybridMultilevel"/>
    <w:tmpl w:val="19BE1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886"/>
    <w:multiLevelType w:val="hybridMultilevel"/>
    <w:tmpl w:val="157441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21B7"/>
    <w:rsid w:val="00032212"/>
    <w:rsid w:val="00044E7B"/>
    <w:rsid w:val="000A34C6"/>
    <w:rsid w:val="00100072"/>
    <w:rsid w:val="001272C9"/>
    <w:rsid w:val="00145438"/>
    <w:rsid w:val="001C4590"/>
    <w:rsid w:val="00230AAE"/>
    <w:rsid w:val="00291A1E"/>
    <w:rsid w:val="002927AC"/>
    <w:rsid w:val="002D60AC"/>
    <w:rsid w:val="002E5B0F"/>
    <w:rsid w:val="002F177A"/>
    <w:rsid w:val="003032B9"/>
    <w:rsid w:val="003B1724"/>
    <w:rsid w:val="003D7062"/>
    <w:rsid w:val="003F2336"/>
    <w:rsid w:val="0042427D"/>
    <w:rsid w:val="0043362A"/>
    <w:rsid w:val="0045607C"/>
    <w:rsid w:val="00483829"/>
    <w:rsid w:val="004C382F"/>
    <w:rsid w:val="004C7D42"/>
    <w:rsid w:val="005A159C"/>
    <w:rsid w:val="0065339A"/>
    <w:rsid w:val="00685636"/>
    <w:rsid w:val="006E40DD"/>
    <w:rsid w:val="00712763"/>
    <w:rsid w:val="00735D6B"/>
    <w:rsid w:val="00776465"/>
    <w:rsid w:val="0078368D"/>
    <w:rsid w:val="0079346C"/>
    <w:rsid w:val="00793B41"/>
    <w:rsid w:val="007A3587"/>
    <w:rsid w:val="007B4965"/>
    <w:rsid w:val="00813A08"/>
    <w:rsid w:val="00840A9B"/>
    <w:rsid w:val="00893544"/>
    <w:rsid w:val="008B1476"/>
    <w:rsid w:val="00907890"/>
    <w:rsid w:val="009536E8"/>
    <w:rsid w:val="00967971"/>
    <w:rsid w:val="009854A0"/>
    <w:rsid w:val="00A250E1"/>
    <w:rsid w:val="00A45564"/>
    <w:rsid w:val="00A80758"/>
    <w:rsid w:val="00A834BE"/>
    <w:rsid w:val="00A976A7"/>
    <w:rsid w:val="00AD089B"/>
    <w:rsid w:val="00AE009A"/>
    <w:rsid w:val="00AE5EDE"/>
    <w:rsid w:val="00B128BB"/>
    <w:rsid w:val="00BB21B7"/>
    <w:rsid w:val="00BC08AB"/>
    <w:rsid w:val="00BD6E7F"/>
    <w:rsid w:val="00C36E56"/>
    <w:rsid w:val="00C41354"/>
    <w:rsid w:val="00C7119F"/>
    <w:rsid w:val="00D00BC5"/>
    <w:rsid w:val="00D94274"/>
    <w:rsid w:val="00DD79B9"/>
    <w:rsid w:val="00DF2C96"/>
    <w:rsid w:val="00E55500"/>
    <w:rsid w:val="00EA1856"/>
    <w:rsid w:val="00F031D0"/>
    <w:rsid w:val="00F24F71"/>
    <w:rsid w:val="00FA2C90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A1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1B7"/>
    <w:pPr>
      <w:ind w:left="720"/>
      <w:contextualSpacing/>
    </w:pPr>
  </w:style>
  <w:style w:type="paragraph" w:styleId="Geenafstand">
    <w:name w:val="No Spacing"/>
    <w:uiPriority w:val="99"/>
    <w:qFormat/>
    <w:rsid w:val="00BB21B7"/>
    <w:pPr>
      <w:spacing w:after="0" w:line="240" w:lineRule="auto"/>
    </w:pPr>
    <w:rPr>
      <w:rFonts w:ascii="Arial" w:eastAsia="Arial" w:hAnsi="Arial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19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1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1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19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1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19F"/>
    <w:rPr>
      <w:rFonts w:eastAsiaTheme="minorEastAsia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1B7"/>
    <w:pPr>
      <w:ind w:left="720"/>
      <w:contextualSpacing/>
    </w:pPr>
  </w:style>
  <w:style w:type="paragraph" w:styleId="Geenafstand">
    <w:name w:val="No Spacing"/>
    <w:uiPriority w:val="99"/>
    <w:qFormat/>
    <w:rsid w:val="00BB21B7"/>
    <w:pPr>
      <w:spacing w:after="0" w:line="240" w:lineRule="auto"/>
    </w:pPr>
    <w:rPr>
      <w:rFonts w:ascii="Arial" w:eastAsia="Arial" w:hAnsi="Arial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19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1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1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19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1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19F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Bakker</dc:creator>
  <cp:lastModifiedBy>Franka Bakker</cp:lastModifiedBy>
  <cp:revision>2</cp:revision>
  <dcterms:created xsi:type="dcterms:W3CDTF">2013-10-31T11:26:00Z</dcterms:created>
  <dcterms:modified xsi:type="dcterms:W3CDTF">2013-10-31T11:26:00Z</dcterms:modified>
</cp:coreProperties>
</file>