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AADF5" w14:textId="3B33BD5E" w:rsidR="00FC59B5" w:rsidRPr="00DF6A32" w:rsidRDefault="00FC59B5" w:rsidP="00FC59B5">
      <w:pPr>
        <w:pStyle w:val="NormalWeb"/>
        <w:ind w:right="900"/>
        <w:rPr>
          <w:i/>
        </w:rPr>
      </w:pPr>
      <w:r w:rsidRPr="00484173">
        <w:rPr>
          <w:b/>
        </w:rPr>
        <w:t>Figure 3</w:t>
      </w:r>
      <w:r w:rsidR="00DF4F91" w:rsidRPr="00484173">
        <w:rPr>
          <w:b/>
        </w:rPr>
        <w:t xml:space="preserve"> </w:t>
      </w:r>
      <w:r w:rsidR="00484173">
        <w:rPr>
          <w:b/>
        </w:rPr>
        <w:t>(</w:t>
      </w:r>
      <w:r w:rsidR="00DF4F91" w:rsidRPr="00484173">
        <w:rPr>
          <w:b/>
        </w:rPr>
        <w:t>Supplemental</w:t>
      </w:r>
      <w:r w:rsidR="00484173">
        <w:rPr>
          <w:b/>
        </w:rPr>
        <w:t>).</w:t>
      </w:r>
      <w:r w:rsidRPr="00DF6A32">
        <w:rPr>
          <w:i/>
        </w:rPr>
        <w:t xml:space="preserve"> </w:t>
      </w:r>
      <w:r w:rsidRPr="00412815">
        <w:t>P</w:t>
      </w:r>
      <w:r w:rsidR="00D14CD3">
        <w:t>roportion</w:t>
      </w:r>
      <w:r w:rsidRPr="00412815">
        <w:t xml:space="preserve"> of patients receiving a clinical intervention by service within 8 hours of a positive sepsis screen</w:t>
      </w:r>
      <w:r w:rsidRPr="00DF6A32">
        <w:rPr>
          <w:i/>
        </w:rPr>
        <w:t xml:space="preserve"> </w:t>
      </w:r>
    </w:p>
    <w:p w14:paraId="4BB0657F" w14:textId="77777777" w:rsidR="00FC59B5" w:rsidRPr="00AB3AC6" w:rsidRDefault="00FC59B5" w:rsidP="00FC59B5">
      <w:pPr>
        <w:pStyle w:val="NormalWeb"/>
        <w:ind w:right="900"/>
        <w:rPr>
          <w:i/>
        </w:rPr>
      </w:pPr>
      <w:r w:rsidRPr="005D2835">
        <w:rPr>
          <w:i/>
          <w:noProof/>
        </w:rPr>
        <w:drawing>
          <wp:inline distT="0" distB="0" distL="0" distR="0" wp14:anchorId="22A73378" wp14:editId="17256A6F">
            <wp:extent cx="5943600" cy="3204210"/>
            <wp:effectExtent l="0" t="0" r="25400" b="2159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9329CA4" w14:textId="3743880B" w:rsidR="00FC59B5" w:rsidRPr="00FC59B5" w:rsidRDefault="00D14CD3" w:rsidP="00FC59B5">
      <w:pPr>
        <w:pStyle w:val="NormalWeb"/>
        <w:spacing w:line="480" w:lineRule="auto"/>
        <w:ind w:right="900"/>
      </w:pPr>
      <w:proofErr w:type="spellStart"/>
      <w:r>
        <w:t>Abx</w:t>
      </w:r>
      <w:proofErr w:type="spellEnd"/>
      <w:r>
        <w:t xml:space="preserve"> = Antibiotics; </w:t>
      </w:r>
      <w:proofErr w:type="spellStart"/>
      <w:r>
        <w:t>BCx</w:t>
      </w:r>
      <w:proofErr w:type="spellEnd"/>
      <w:r>
        <w:t xml:space="preserve"> = Blood culture;</w:t>
      </w:r>
      <w:bookmarkStart w:id="0" w:name="_GoBack"/>
      <w:bookmarkEnd w:id="0"/>
      <w:r w:rsidR="00FC59B5" w:rsidRPr="00FC59B5">
        <w:t xml:space="preserve"> ICU = intensive care unit</w:t>
      </w:r>
    </w:p>
    <w:p w14:paraId="35B021CF" w14:textId="77777777" w:rsidR="000841D6" w:rsidRDefault="000841D6"/>
    <w:sectPr w:rsidR="00084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B5"/>
    <w:rsid w:val="000841D6"/>
    <w:rsid w:val="00412815"/>
    <w:rsid w:val="00484173"/>
    <w:rsid w:val="00D14CD3"/>
    <w:rsid w:val="00DF4F91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BF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sie\My%20Documents\Sepsis\SepsisScreenProcessMeasures.xlsx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Sheet7!$B$3</c:f>
              <c:strCache>
                <c:ptCount val="1"/>
                <c:pt idx="0">
                  <c:v>Antibiotics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Abx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Sheet7!$A$4:$A$5</c:f>
              <c:strCache>
                <c:ptCount val="2"/>
                <c:pt idx="0">
                  <c:v>Medicine</c:v>
                </c:pt>
                <c:pt idx="1">
                  <c:v>Surgery</c:v>
                </c:pt>
              </c:strCache>
            </c:strRef>
          </c:cat>
          <c:val>
            <c:numRef>
              <c:f>Sheet7!$B$4:$B$5</c:f>
              <c:numCache>
                <c:formatCode>0%</c:formatCode>
                <c:ptCount val="2"/>
                <c:pt idx="0">
                  <c:v>0.166666666666667</c:v>
                </c:pt>
                <c:pt idx="1">
                  <c:v>0.035</c:v>
                </c:pt>
              </c:numCache>
            </c:numRef>
          </c:val>
        </c:ser>
        <c:ser>
          <c:idx val="1"/>
          <c:order val="1"/>
          <c:tx>
            <c:strRef>
              <c:f>Sheet7!$C$3</c:f>
              <c:strCache>
                <c:ptCount val="1"/>
                <c:pt idx="0">
                  <c:v>Lactate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L</a:t>
                    </a:r>
                    <a:r>
                      <a:rPr lang="en-US"/>
                      <a:t>actate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Sheet7!$A$4:$A$5</c:f>
              <c:strCache>
                <c:ptCount val="2"/>
                <c:pt idx="0">
                  <c:v>Medicine</c:v>
                </c:pt>
                <c:pt idx="1">
                  <c:v>Surgery</c:v>
                </c:pt>
              </c:strCache>
            </c:strRef>
          </c:cat>
          <c:val>
            <c:numRef>
              <c:f>Sheet7!$C$4:$C$5</c:f>
              <c:numCache>
                <c:formatCode>0%</c:formatCode>
                <c:ptCount val="2"/>
                <c:pt idx="0">
                  <c:v>0.111111111111111</c:v>
                </c:pt>
                <c:pt idx="1">
                  <c:v>0.175</c:v>
                </c:pt>
              </c:numCache>
            </c:numRef>
          </c:val>
        </c:ser>
        <c:ser>
          <c:idx val="2"/>
          <c:order val="2"/>
          <c:tx>
            <c:strRef>
              <c:f>Sheet7!$D$3</c:f>
              <c:strCache>
                <c:ptCount val="1"/>
                <c:pt idx="0">
                  <c:v>Fluids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F</a:t>
                    </a:r>
                    <a:r>
                      <a:rPr lang="en-US"/>
                      <a:t>luids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Sheet7!$A$4:$A$5</c:f>
              <c:strCache>
                <c:ptCount val="2"/>
                <c:pt idx="0">
                  <c:v>Medicine</c:v>
                </c:pt>
                <c:pt idx="1">
                  <c:v>Surgery</c:v>
                </c:pt>
              </c:strCache>
            </c:strRef>
          </c:cat>
          <c:val>
            <c:numRef>
              <c:f>Sheet7!$D$4:$D$5</c:f>
              <c:numCache>
                <c:formatCode>0%</c:formatCode>
                <c:ptCount val="2"/>
                <c:pt idx="0">
                  <c:v>0.111111111111111</c:v>
                </c:pt>
                <c:pt idx="1">
                  <c:v>0.14</c:v>
                </c:pt>
              </c:numCache>
            </c:numRef>
          </c:val>
        </c:ser>
        <c:ser>
          <c:idx val="3"/>
          <c:order val="3"/>
          <c:tx>
            <c:strRef>
              <c:f>Sheet7!$E$3</c:f>
              <c:strCache>
                <c:ptCount val="1"/>
                <c:pt idx="0">
                  <c:v>Blood Culture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B</a:t>
                    </a:r>
                    <a:r>
                      <a:rPr lang="en-US"/>
                      <a:t>Cx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Sheet7!$A$4:$A$5</c:f>
              <c:strCache>
                <c:ptCount val="2"/>
                <c:pt idx="0">
                  <c:v>Medicine</c:v>
                </c:pt>
                <c:pt idx="1">
                  <c:v>Surgery</c:v>
                </c:pt>
              </c:strCache>
            </c:strRef>
          </c:cat>
          <c:val>
            <c:numRef>
              <c:f>Sheet7!$E$4:$E$5</c:f>
              <c:numCache>
                <c:formatCode>0%</c:formatCode>
                <c:ptCount val="2"/>
                <c:pt idx="0">
                  <c:v>0.0555555555555555</c:v>
                </c:pt>
                <c:pt idx="1">
                  <c:v>0.035</c:v>
                </c:pt>
              </c:numCache>
            </c:numRef>
          </c:val>
        </c:ser>
        <c:ser>
          <c:idx val="4"/>
          <c:order val="4"/>
          <c:tx>
            <c:strRef>
              <c:f>Sheet7!$F$3</c:f>
              <c:strCache>
                <c:ptCount val="1"/>
                <c:pt idx="0">
                  <c:v>ICU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I</a:t>
                    </a:r>
                    <a:r>
                      <a:rPr lang="en-US"/>
                      <a:t>CU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Sheet7!$A$4:$A$5</c:f>
              <c:strCache>
                <c:ptCount val="2"/>
                <c:pt idx="0">
                  <c:v>Medicine</c:v>
                </c:pt>
                <c:pt idx="1">
                  <c:v>Surgery</c:v>
                </c:pt>
              </c:strCache>
            </c:strRef>
          </c:cat>
          <c:val>
            <c:numRef>
              <c:f>Sheet7!$F$4:$F$5</c:f>
              <c:numCache>
                <c:formatCode>0%</c:formatCode>
                <c:ptCount val="2"/>
                <c:pt idx="0">
                  <c:v>0.0555555555555555</c:v>
                </c:pt>
                <c:pt idx="1">
                  <c:v>0.035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2077201512"/>
        <c:axId val="2085009288"/>
      </c:barChart>
      <c:catAx>
        <c:axId val="20772015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2085009288"/>
        <c:crosses val="autoZero"/>
        <c:auto val="1"/>
        <c:lblAlgn val="ctr"/>
        <c:lblOffset val="100"/>
        <c:noMultiLvlLbl val="0"/>
      </c:catAx>
      <c:valAx>
        <c:axId val="208500928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>
                    <a:latin typeface="Times New Roman"/>
                    <a:cs typeface="Times New Roman"/>
                  </a:defRPr>
                </a:pPr>
                <a:r>
                  <a:rPr lang="en-US" sz="1200">
                    <a:latin typeface="Times New Roman"/>
                    <a:cs typeface="Times New Roman"/>
                  </a:rPr>
                  <a:t>Proportion of Patients</a:t>
                </a:r>
              </a:p>
            </c:rich>
          </c:tx>
          <c:layout/>
          <c:overlay val="0"/>
        </c:title>
        <c:numFmt formatCode="0%" sourceLinked="1"/>
        <c:majorTickMark val="none"/>
        <c:minorTickMark val="none"/>
        <c:tickLblPos val="nextTo"/>
        <c:crossAx val="2077201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0.22648</cdr:x>
      <cdr:y>0.59172</cdr:y>
    </cdr:from>
    <cdr:to>
      <cdr:x>0.29825</cdr:x>
      <cdr:y>0.66568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52551" y="1905000"/>
          <a:ext cx="4286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Abx</a:t>
          </a:r>
        </a:p>
      </cdr:txBody>
    </cdr:sp>
  </cdr:relSizeAnchor>
  <cdr:relSizeAnchor xmlns:cdr="http://schemas.openxmlformats.org/drawingml/2006/chartDrawing">
    <cdr:from>
      <cdr:x>0.40989</cdr:x>
      <cdr:y>0.59172</cdr:y>
    </cdr:from>
    <cdr:to>
      <cdr:x>0.51356</cdr:x>
      <cdr:y>0.66568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447925" y="1905000"/>
          <a:ext cx="619126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b="1"/>
            <a:t>Lactate</a:t>
          </a:r>
        </a:p>
      </cdr:txBody>
    </cdr:sp>
  </cdr:relSizeAnchor>
  <cdr:relSizeAnchor xmlns:cdr="http://schemas.openxmlformats.org/drawingml/2006/chartDrawing">
    <cdr:from>
      <cdr:x>0.5614</cdr:x>
      <cdr:y>0.59172</cdr:y>
    </cdr:from>
    <cdr:to>
      <cdr:x>0.64753</cdr:x>
      <cdr:y>0.66568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352800" y="1905000"/>
          <a:ext cx="514351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 b="1"/>
            <a:t>Fluids</a:t>
          </a:r>
        </a:p>
      </cdr:txBody>
    </cdr:sp>
  </cdr:relSizeAnchor>
  <cdr:relSizeAnchor xmlns:cdr="http://schemas.openxmlformats.org/drawingml/2006/chartDrawing">
    <cdr:from>
      <cdr:x>0.68102</cdr:x>
      <cdr:y>0.5858</cdr:y>
    </cdr:from>
    <cdr:to>
      <cdr:x>0.76715</cdr:x>
      <cdr:y>0.65976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067175" y="1885950"/>
          <a:ext cx="514351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 b="1"/>
            <a:t>BCx</a:t>
          </a:r>
        </a:p>
      </cdr:txBody>
    </cdr:sp>
  </cdr:relSizeAnchor>
  <cdr:relSizeAnchor xmlns:cdr="http://schemas.openxmlformats.org/drawingml/2006/chartDrawing">
    <cdr:from>
      <cdr:x>0.75598</cdr:x>
      <cdr:y>0.5858</cdr:y>
    </cdr:from>
    <cdr:to>
      <cdr:x>0.84211</cdr:x>
      <cdr:y>0.65976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514850" y="1885950"/>
          <a:ext cx="514351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 b="1"/>
            <a:t>ICU</a:t>
          </a:r>
        </a:p>
      </cdr:txBody>
    </cdr:sp>
  </cdr:relSizeAnchor>
  <cdr:relSizeAnchor xmlns:cdr="http://schemas.openxmlformats.org/drawingml/2006/chartDrawing">
    <cdr:from>
      <cdr:x>0.72727</cdr:x>
      <cdr:y>0.18343</cdr:y>
    </cdr:from>
    <cdr:to>
      <cdr:x>0.82137</cdr:x>
      <cdr:y>0.30473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343401" y="590549"/>
          <a:ext cx="561975" cy="3905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42%</a:t>
          </a:r>
        </a:p>
      </cdr:txBody>
    </cdr:sp>
  </cdr:relSizeAnchor>
  <cdr:relSizeAnchor xmlns:cdr="http://schemas.openxmlformats.org/drawingml/2006/chartDrawing">
    <cdr:from>
      <cdr:x>0.83573</cdr:x>
      <cdr:y>0.57101</cdr:y>
    </cdr:from>
    <cdr:to>
      <cdr:x>0.92982</cdr:x>
      <cdr:y>0.69231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4991100" y="1838325"/>
          <a:ext cx="561975" cy="3905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50%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Gyang</dc:creator>
  <cp:keywords/>
  <dc:description/>
  <cp:lastModifiedBy>Elsie Ross</cp:lastModifiedBy>
  <cp:revision>2</cp:revision>
  <dcterms:created xsi:type="dcterms:W3CDTF">2014-10-09T19:40:00Z</dcterms:created>
  <dcterms:modified xsi:type="dcterms:W3CDTF">2014-10-09T19:40:00Z</dcterms:modified>
</cp:coreProperties>
</file>