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6D" w:rsidRPr="00A44381" w:rsidRDefault="00BE266D" w:rsidP="00BE266D">
      <w:r w:rsidRPr="00A44381">
        <w:t>App</w:t>
      </w:r>
      <w:r>
        <w:t>endix 1: Original search strategy run June 5, 2013. Update search using same terms conducted June 9, 2014.</w:t>
      </w:r>
    </w:p>
    <w:p w:rsidR="00BE266D" w:rsidRPr="00A44381" w:rsidRDefault="00BE266D" w:rsidP="00BE266D">
      <w:pPr>
        <w:jc w:val="center"/>
      </w:pPr>
      <w:r w:rsidRPr="00A44381">
        <w:rPr>
          <w:u w:val="single"/>
        </w:rPr>
        <w:t>Ovid</w:t>
      </w:r>
    </w:p>
    <w:p w:rsidR="00BE266D" w:rsidRPr="00A44381" w:rsidRDefault="00BE266D" w:rsidP="00BE266D">
      <w:r w:rsidRPr="00A44381">
        <w:t xml:space="preserve">Database(s): Embase 1988 to 2013 Week 22, Ovid MEDLINE(R) In-Process &amp; Other Non-Indexed Citations and Ovid MEDLINE(R) 1946 to Present, EBM Reviews - Cochrane Central Register of Controlled Trials May 2013, EBM Reviews - Cochrane Database of Systematic Reviews 2005 to April 2013 </w:t>
      </w:r>
      <w:r w:rsidRPr="00A44381">
        <w:br/>
        <w:t>Search Strategy: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
        <w:gridCol w:w="11900"/>
        <w:gridCol w:w="875"/>
      </w:tblGrid>
      <w:tr w:rsidR="00BE266D" w:rsidRPr="00A44381" w:rsidTr="00AB32D3">
        <w:trPr>
          <w:tblCellSpacing w:w="15" w:type="dxa"/>
        </w:trPr>
        <w:tc>
          <w:tcPr>
            <w:tcW w:w="0" w:type="auto"/>
            <w:vAlign w:val="center"/>
            <w:hideMark/>
          </w:tcPr>
          <w:p w:rsidR="00BE266D" w:rsidRPr="00A44381" w:rsidRDefault="00BE266D" w:rsidP="00AB32D3">
            <w:pPr>
              <w:jc w:val="center"/>
              <w:rPr>
                <w:b/>
                <w:bCs/>
              </w:rPr>
            </w:pPr>
            <w:r w:rsidRPr="00A44381">
              <w:rPr>
                <w:b/>
                <w:bCs/>
              </w:rPr>
              <w:t>#</w:t>
            </w:r>
          </w:p>
        </w:tc>
        <w:tc>
          <w:tcPr>
            <w:tcW w:w="0" w:type="auto"/>
            <w:vAlign w:val="center"/>
            <w:hideMark/>
          </w:tcPr>
          <w:p w:rsidR="00BE266D" w:rsidRPr="00A44381" w:rsidRDefault="00BE266D" w:rsidP="00AB32D3">
            <w:pPr>
              <w:jc w:val="center"/>
              <w:rPr>
                <w:b/>
                <w:bCs/>
              </w:rPr>
            </w:pPr>
            <w:r w:rsidRPr="00A44381">
              <w:rPr>
                <w:b/>
                <w:bCs/>
              </w:rPr>
              <w:t>Searches</w:t>
            </w:r>
          </w:p>
        </w:tc>
        <w:tc>
          <w:tcPr>
            <w:tcW w:w="0" w:type="auto"/>
            <w:vAlign w:val="center"/>
            <w:hideMark/>
          </w:tcPr>
          <w:p w:rsidR="00BE266D" w:rsidRPr="00A44381" w:rsidRDefault="00BE266D" w:rsidP="00AB32D3">
            <w:pPr>
              <w:jc w:val="center"/>
              <w:rPr>
                <w:b/>
                <w:bCs/>
              </w:rPr>
            </w:pPr>
            <w:r w:rsidRPr="00A44381">
              <w:rPr>
                <w:b/>
                <w:bCs/>
              </w:rPr>
              <w:t>Results</w:t>
            </w:r>
          </w:p>
        </w:tc>
      </w:tr>
      <w:tr w:rsidR="00BE266D" w:rsidRPr="00A44381" w:rsidTr="00AB32D3">
        <w:trPr>
          <w:tblCellSpacing w:w="15" w:type="dxa"/>
        </w:trPr>
        <w:tc>
          <w:tcPr>
            <w:tcW w:w="0" w:type="auto"/>
            <w:vAlign w:val="center"/>
            <w:hideMark/>
          </w:tcPr>
          <w:p w:rsidR="00BE266D" w:rsidRPr="00A44381" w:rsidRDefault="00BE266D" w:rsidP="00AB32D3">
            <w:r w:rsidRPr="00A44381">
              <w:t>1</w:t>
            </w:r>
          </w:p>
        </w:tc>
        <w:tc>
          <w:tcPr>
            <w:tcW w:w="0" w:type="auto"/>
            <w:vAlign w:val="center"/>
            <w:hideMark/>
          </w:tcPr>
          <w:p w:rsidR="00BE266D" w:rsidRPr="00A44381" w:rsidRDefault="00BE266D" w:rsidP="00AB32D3">
            <w:r w:rsidRPr="00A44381">
              <w:t>exp screening test/</w:t>
            </w:r>
          </w:p>
        </w:tc>
        <w:tc>
          <w:tcPr>
            <w:tcW w:w="0" w:type="auto"/>
            <w:vAlign w:val="center"/>
            <w:hideMark/>
          </w:tcPr>
          <w:p w:rsidR="00BE266D" w:rsidRPr="00A44381" w:rsidRDefault="00BE266D" w:rsidP="00AB32D3">
            <w:r w:rsidRPr="00A44381">
              <w:t>43105</w:t>
            </w:r>
          </w:p>
        </w:tc>
      </w:tr>
      <w:tr w:rsidR="00BE266D" w:rsidRPr="00A44381" w:rsidTr="00AB32D3">
        <w:trPr>
          <w:tblCellSpacing w:w="15" w:type="dxa"/>
        </w:trPr>
        <w:tc>
          <w:tcPr>
            <w:tcW w:w="0" w:type="auto"/>
            <w:vAlign w:val="center"/>
            <w:hideMark/>
          </w:tcPr>
          <w:p w:rsidR="00BE266D" w:rsidRPr="00A44381" w:rsidRDefault="00BE266D" w:rsidP="00AB32D3">
            <w:r w:rsidRPr="00A44381">
              <w:t>2</w:t>
            </w:r>
          </w:p>
        </w:tc>
        <w:tc>
          <w:tcPr>
            <w:tcW w:w="0" w:type="auto"/>
            <w:vAlign w:val="center"/>
            <w:hideMark/>
          </w:tcPr>
          <w:p w:rsidR="00BE266D" w:rsidRPr="00A44381" w:rsidRDefault="00BE266D" w:rsidP="00AB32D3">
            <w:r w:rsidRPr="00A44381">
              <w:t>(bedside or "bed side").mp. [mp=ti, ab, sh, hw, tn, ot, dm, mf, dv, kw, nm, kf, ps, rs, ui, tx, ct]</w:t>
            </w:r>
          </w:p>
        </w:tc>
        <w:tc>
          <w:tcPr>
            <w:tcW w:w="0" w:type="auto"/>
            <w:vAlign w:val="center"/>
            <w:hideMark/>
          </w:tcPr>
          <w:p w:rsidR="00BE266D" w:rsidRPr="00A44381" w:rsidRDefault="00BE266D" w:rsidP="00AB32D3">
            <w:r w:rsidRPr="00A44381">
              <w:t>36745</w:t>
            </w:r>
          </w:p>
        </w:tc>
      </w:tr>
      <w:tr w:rsidR="00BE266D" w:rsidRPr="00A44381" w:rsidTr="00AB32D3">
        <w:trPr>
          <w:tblCellSpacing w:w="15" w:type="dxa"/>
        </w:trPr>
        <w:tc>
          <w:tcPr>
            <w:tcW w:w="0" w:type="auto"/>
            <w:vAlign w:val="center"/>
            <w:hideMark/>
          </w:tcPr>
          <w:p w:rsidR="00BE266D" w:rsidRPr="00A44381" w:rsidRDefault="00BE266D" w:rsidP="00AB32D3">
            <w:r w:rsidRPr="00A44381">
              <w:t>3</w:t>
            </w:r>
          </w:p>
        </w:tc>
        <w:tc>
          <w:tcPr>
            <w:tcW w:w="0" w:type="auto"/>
            <w:vAlign w:val="center"/>
            <w:hideMark/>
          </w:tcPr>
          <w:p w:rsidR="00BE266D" w:rsidRPr="00A44381" w:rsidRDefault="00BE266D" w:rsidP="00AB32D3">
            <w:r w:rsidRPr="00A44381">
              <w:t>1 and 2</w:t>
            </w:r>
          </w:p>
        </w:tc>
        <w:tc>
          <w:tcPr>
            <w:tcW w:w="0" w:type="auto"/>
            <w:vAlign w:val="center"/>
            <w:hideMark/>
          </w:tcPr>
          <w:p w:rsidR="00BE266D" w:rsidRPr="00A44381" w:rsidRDefault="00BE266D" w:rsidP="00AB32D3">
            <w:r w:rsidRPr="00A44381">
              <w:t>171</w:t>
            </w:r>
          </w:p>
        </w:tc>
      </w:tr>
      <w:tr w:rsidR="00BE266D" w:rsidRPr="00A44381" w:rsidTr="00AB32D3">
        <w:trPr>
          <w:tblCellSpacing w:w="15" w:type="dxa"/>
        </w:trPr>
        <w:tc>
          <w:tcPr>
            <w:tcW w:w="0" w:type="auto"/>
            <w:vAlign w:val="center"/>
            <w:hideMark/>
          </w:tcPr>
          <w:p w:rsidR="00BE266D" w:rsidRPr="00A44381" w:rsidRDefault="00BE266D" w:rsidP="00AB32D3">
            <w:r w:rsidRPr="00A44381">
              <w:t>4</w:t>
            </w:r>
          </w:p>
        </w:tc>
        <w:tc>
          <w:tcPr>
            <w:tcW w:w="0" w:type="auto"/>
            <w:vAlign w:val="center"/>
            <w:hideMark/>
          </w:tcPr>
          <w:p w:rsidR="00BE266D" w:rsidRPr="00A44381" w:rsidRDefault="00BE266D" w:rsidP="00AB32D3">
            <w:r w:rsidRPr="00A44381">
              <w:t>((bedside or "bed side") adj5 (screening* or swallow*)).mp.</w:t>
            </w:r>
          </w:p>
        </w:tc>
        <w:tc>
          <w:tcPr>
            <w:tcW w:w="0" w:type="auto"/>
            <w:vAlign w:val="center"/>
            <w:hideMark/>
          </w:tcPr>
          <w:p w:rsidR="00BE266D" w:rsidRPr="00A44381" w:rsidRDefault="00BE266D" w:rsidP="00AB32D3">
            <w:r w:rsidRPr="00A44381">
              <w:t>550</w:t>
            </w:r>
          </w:p>
        </w:tc>
      </w:tr>
      <w:tr w:rsidR="00BE266D" w:rsidRPr="00A44381" w:rsidTr="00AB32D3">
        <w:trPr>
          <w:tblCellSpacing w:w="15" w:type="dxa"/>
        </w:trPr>
        <w:tc>
          <w:tcPr>
            <w:tcW w:w="0" w:type="auto"/>
            <w:vAlign w:val="center"/>
            <w:hideMark/>
          </w:tcPr>
          <w:p w:rsidR="00BE266D" w:rsidRPr="00A44381" w:rsidRDefault="00BE266D" w:rsidP="00AB32D3">
            <w:r w:rsidRPr="00A44381">
              <w:t>5</w:t>
            </w:r>
          </w:p>
        </w:tc>
        <w:tc>
          <w:tcPr>
            <w:tcW w:w="0" w:type="auto"/>
            <w:vAlign w:val="center"/>
            <w:hideMark/>
          </w:tcPr>
          <w:p w:rsidR="00BE266D" w:rsidRPr="00A44381" w:rsidRDefault="00BE266D" w:rsidP="00AB32D3">
            <w:r w:rsidRPr="00A44381">
              <w:t>exp questionnaire/</w:t>
            </w:r>
          </w:p>
        </w:tc>
        <w:tc>
          <w:tcPr>
            <w:tcW w:w="0" w:type="auto"/>
            <w:vAlign w:val="center"/>
            <w:hideMark/>
          </w:tcPr>
          <w:p w:rsidR="00BE266D" w:rsidRPr="00A44381" w:rsidRDefault="00BE266D" w:rsidP="00AB32D3">
            <w:r w:rsidRPr="00A44381">
              <w:t>645078</w:t>
            </w:r>
          </w:p>
        </w:tc>
      </w:tr>
      <w:tr w:rsidR="00BE266D" w:rsidRPr="00A44381" w:rsidTr="00AB32D3">
        <w:trPr>
          <w:tblCellSpacing w:w="15" w:type="dxa"/>
        </w:trPr>
        <w:tc>
          <w:tcPr>
            <w:tcW w:w="0" w:type="auto"/>
            <w:vAlign w:val="center"/>
            <w:hideMark/>
          </w:tcPr>
          <w:p w:rsidR="00BE266D" w:rsidRPr="00A44381" w:rsidRDefault="00BE266D" w:rsidP="00AB32D3">
            <w:r w:rsidRPr="00A44381">
              <w:t>6</w:t>
            </w:r>
          </w:p>
        </w:tc>
        <w:tc>
          <w:tcPr>
            <w:tcW w:w="0" w:type="auto"/>
            <w:vAlign w:val="center"/>
            <w:hideMark/>
          </w:tcPr>
          <w:p w:rsidR="00BE266D" w:rsidRPr="00A44381" w:rsidRDefault="00BE266D" w:rsidP="00AB32D3">
            <w:r w:rsidRPr="00A44381">
              <w:t>clinical observation/</w:t>
            </w:r>
          </w:p>
        </w:tc>
        <w:tc>
          <w:tcPr>
            <w:tcW w:w="0" w:type="auto"/>
            <w:vAlign w:val="center"/>
            <w:hideMark/>
          </w:tcPr>
          <w:p w:rsidR="00BE266D" w:rsidRPr="00A44381" w:rsidRDefault="00BE266D" w:rsidP="00AB32D3">
            <w:r w:rsidRPr="00A44381">
              <w:t>16913</w:t>
            </w:r>
          </w:p>
        </w:tc>
      </w:tr>
      <w:tr w:rsidR="00BE266D" w:rsidRPr="00A44381" w:rsidTr="00AB32D3">
        <w:trPr>
          <w:tblCellSpacing w:w="15" w:type="dxa"/>
        </w:trPr>
        <w:tc>
          <w:tcPr>
            <w:tcW w:w="0" w:type="auto"/>
            <w:vAlign w:val="center"/>
            <w:hideMark/>
          </w:tcPr>
          <w:p w:rsidR="00BE266D" w:rsidRPr="00A44381" w:rsidRDefault="00BE266D" w:rsidP="00AB32D3">
            <w:r w:rsidRPr="00A44381">
              <w:t>7</w:t>
            </w:r>
          </w:p>
        </w:tc>
        <w:tc>
          <w:tcPr>
            <w:tcW w:w="0" w:type="auto"/>
            <w:vAlign w:val="center"/>
            <w:hideMark/>
          </w:tcPr>
          <w:p w:rsidR="00BE266D" w:rsidRPr="00A44381" w:rsidRDefault="00BE266D" w:rsidP="00AB32D3">
            <w:r w:rsidRPr="00A44381">
              <w:t>exp esophagus manometry/</w:t>
            </w:r>
          </w:p>
        </w:tc>
        <w:tc>
          <w:tcPr>
            <w:tcW w:w="0" w:type="auto"/>
            <w:vAlign w:val="center"/>
            <w:hideMark/>
          </w:tcPr>
          <w:p w:rsidR="00BE266D" w:rsidRPr="00A44381" w:rsidRDefault="00BE266D" w:rsidP="00AB32D3">
            <w:r w:rsidRPr="00A44381">
              <w:t>2401</w:t>
            </w:r>
          </w:p>
        </w:tc>
      </w:tr>
      <w:tr w:rsidR="00BE266D" w:rsidRPr="00A44381" w:rsidTr="00AB32D3">
        <w:trPr>
          <w:tblCellSpacing w:w="15" w:type="dxa"/>
        </w:trPr>
        <w:tc>
          <w:tcPr>
            <w:tcW w:w="0" w:type="auto"/>
            <w:vAlign w:val="center"/>
            <w:hideMark/>
          </w:tcPr>
          <w:p w:rsidR="00BE266D" w:rsidRPr="00A44381" w:rsidRDefault="00BE266D" w:rsidP="00AB32D3">
            <w:r w:rsidRPr="00A44381">
              <w:t>8</w:t>
            </w:r>
          </w:p>
        </w:tc>
        <w:tc>
          <w:tcPr>
            <w:tcW w:w="0" w:type="auto"/>
            <w:vAlign w:val="center"/>
            <w:hideMark/>
          </w:tcPr>
          <w:p w:rsidR="00BE266D" w:rsidRPr="00A44381" w:rsidRDefault="00BE266D" w:rsidP="00AB32D3">
            <w:r w:rsidRPr="00A44381">
              <w:t>exp manometry/</w:t>
            </w:r>
          </w:p>
        </w:tc>
        <w:tc>
          <w:tcPr>
            <w:tcW w:w="0" w:type="auto"/>
            <w:vAlign w:val="center"/>
            <w:hideMark/>
          </w:tcPr>
          <w:p w:rsidR="00BE266D" w:rsidRPr="00A44381" w:rsidRDefault="00BE266D" w:rsidP="00AB32D3">
            <w:r w:rsidRPr="00A44381">
              <w:t>28195</w:t>
            </w:r>
          </w:p>
        </w:tc>
      </w:tr>
      <w:tr w:rsidR="00BE266D" w:rsidRPr="00A44381" w:rsidTr="00AB32D3">
        <w:trPr>
          <w:tblCellSpacing w:w="15" w:type="dxa"/>
        </w:trPr>
        <w:tc>
          <w:tcPr>
            <w:tcW w:w="0" w:type="auto"/>
            <w:vAlign w:val="center"/>
            <w:hideMark/>
          </w:tcPr>
          <w:p w:rsidR="00BE266D" w:rsidRPr="00A44381" w:rsidRDefault="00BE266D" w:rsidP="00AB32D3">
            <w:r w:rsidRPr="00A44381">
              <w:t>9</w:t>
            </w:r>
          </w:p>
        </w:tc>
        <w:tc>
          <w:tcPr>
            <w:tcW w:w="0" w:type="auto"/>
            <w:vAlign w:val="center"/>
            <w:hideMark/>
          </w:tcPr>
          <w:p w:rsidR="00BE266D" w:rsidRPr="00A44381" w:rsidRDefault="00BE266D" w:rsidP="00AB32D3">
            <w:r w:rsidRPr="00A44381">
              <w:t>(questionnaire* or observation* or desaturat* or manometr* or esophagomanometr* or tonometr*).mp. [mp=ti, ab, sh, hw, tn, ot, dm, mf, dv, kw, nm, kf, ps, rs, ui, tx, ct]</w:t>
            </w:r>
          </w:p>
        </w:tc>
        <w:tc>
          <w:tcPr>
            <w:tcW w:w="0" w:type="auto"/>
            <w:vAlign w:val="center"/>
            <w:hideMark/>
          </w:tcPr>
          <w:p w:rsidR="00BE266D" w:rsidRPr="00A44381" w:rsidRDefault="00BE266D" w:rsidP="00AB32D3">
            <w:r w:rsidRPr="00A44381">
              <w:t>2088013</w:t>
            </w:r>
          </w:p>
        </w:tc>
      </w:tr>
      <w:tr w:rsidR="00BE266D" w:rsidRPr="00A44381" w:rsidTr="00AB32D3">
        <w:trPr>
          <w:tblCellSpacing w:w="15" w:type="dxa"/>
        </w:trPr>
        <w:tc>
          <w:tcPr>
            <w:tcW w:w="0" w:type="auto"/>
            <w:vAlign w:val="center"/>
            <w:hideMark/>
          </w:tcPr>
          <w:p w:rsidR="00BE266D" w:rsidRPr="00A44381" w:rsidRDefault="00BE266D" w:rsidP="00AB32D3">
            <w:r w:rsidRPr="00A44381">
              <w:t>10</w:t>
            </w:r>
          </w:p>
        </w:tc>
        <w:tc>
          <w:tcPr>
            <w:tcW w:w="0" w:type="auto"/>
            <w:vAlign w:val="center"/>
            <w:hideMark/>
          </w:tcPr>
          <w:p w:rsidR="00BE266D" w:rsidRPr="00A44381" w:rsidRDefault="00BE266D" w:rsidP="00AB32D3">
            <w:r w:rsidRPr="00A44381">
              <w:t>"Iowa oral performance instrument".mp.</w:t>
            </w:r>
          </w:p>
        </w:tc>
        <w:tc>
          <w:tcPr>
            <w:tcW w:w="0" w:type="auto"/>
            <w:vAlign w:val="center"/>
            <w:hideMark/>
          </w:tcPr>
          <w:p w:rsidR="00BE266D" w:rsidRPr="00A44381" w:rsidRDefault="00BE266D" w:rsidP="00AB32D3">
            <w:r w:rsidRPr="00A44381">
              <w:t>43</w:t>
            </w:r>
          </w:p>
        </w:tc>
      </w:tr>
      <w:tr w:rsidR="00BE266D" w:rsidRPr="00A44381" w:rsidTr="00AB32D3">
        <w:trPr>
          <w:tblCellSpacing w:w="15" w:type="dxa"/>
        </w:trPr>
        <w:tc>
          <w:tcPr>
            <w:tcW w:w="0" w:type="auto"/>
            <w:vAlign w:val="center"/>
            <w:hideMark/>
          </w:tcPr>
          <w:p w:rsidR="00BE266D" w:rsidRPr="00A44381" w:rsidRDefault="00BE266D" w:rsidP="00AB32D3">
            <w:r w:rsidRPr="00A44381">
              <w:t>11</w:t>
            </w:r>
          </w:p>
        </w:tc>
        <w:tc>
          <w:tcPr>
            <w:tcW w:w="0" w:type="auto"/>
            <w:vAlign w:val="center"/>
            <w:hideMark/>
          </w:tcPr>
          <w:p w:rsidR="00BE266D" w:rsidRPr="00A44381" w:rsidRDefault="00BE266D" w:rsidP="00AB32D3">
            <w:r w:rsidRPr="00A44381">
              <w:t>3 or 4 or 5 or 6 or 7 or 8 or 9 or 10</w:t>
            </w:r>
          </w:p>
        </w:tc>
        <w:tc>
          <w:tcPr>
            <w:tcW w:w="0" w:type="auto"/>
            <w:vAlign w:val="center"/>
            <w:hideMark/>
          </w:tcPr>
          <w:p w:rsidR="00BE266D" w:rsidRPr="00A44381" w:rsidRDefault="00BE266D" w:rsidP="00AB32D3">
            <w:r w:rsidRPr="00A44381">
              <w:t>2094124</w:t>
            </w:r>
          </w:p>
        </w:tc>
      </w:tr>
      <w:tr w:rsidR="00BE266D" w:rsidRPr="00A44381" w:rsidTr="00AB32D3">
        <w:trPr>
          <w:tblCellSpacing w:w="15" w:type="dxa"/>
        </w:trPr>
        <w:tc>
          <w:tcPr>
            <w:tcW w:w="0" w:type="auto"/>
            <w:vAlign w:val="center"/>
            <w:hideMark/>
          </w:tcPr>
          <w:p w:rsidR="00BE266D" w:rsidRPr="00A44381" w:rsidRDefault="00BE266D" w:rsidP="00AB32D3">
            <w:r w:rsidRPr="00A44381">
              <w:t>12</w:t>
            </w:r>
          </w:p>
        </w:tc>
        <w:tc>
          <w:tcPr>
            <w:tcW w:w="0" w:type="auto"/>
            <w:vAlign w:val="center"/>
            <w:hideMark/>
          </w:tcPr>
          <w:p w:rsidR="00BE266D" w:rsidRPr="00A44381" w:rsidRDefault="00BE266D" w:rsidP="00AB32D3">
            <w:r w:rsidRPr="00A44381">
              <w:t>exp Pneumonia/</w:t>
            </w:r>
          </w:p>
        </w:tc>
        <w:tc>
          <w:tcPr>
            <w:tcW w:w="0" w:type="auto"/>
            <w:vAlign w:val="center"/>
            <w:hideMark/>
          </w:tcPr>
          <w:p w:rsidR="00BE266D" w:rsidRPr="00A44381" w:rsidRDefault="00BE266D" w:rsidP="00AB32D3">
            <w:r w:rsidRPr="00A44381">
              <w:t>220341</w:t>
            </w:r>
          </w:p>
        </w:tc>
      </w:tr>
      <w:tr w:rsidR="00BE266D" w:rsidRPr="00A44381" w:rsidTr="00AB32D3">
        <w:trPr>
          <w:tblCellSpacing w:w="15" w:type="dxa"/>
        </w:trPr>
        <w:tc>
          <w:tcPr>
            <w:tcW w:w="0" w:type="auto"/>
            <w:vAlign w:val="center"/>
            <w:hideMark/>
          </w:tcPr>
          <w:p w:rsidR="00BE266D" w:rsidRPr="00A44381" w:rsidRDefault="00BE266D" w:rsidP="00AB32D3">
            <w:r w:rsidRPr="00A44381">
              <w:t>13</w:t>
            </w:r>
          </w:p>
        </w:tc>
        <w:tc>
          <w:tcPr>
            <w:tcW w:w="0" w:type="auto"/>
            <w:vAlign w:val="center"/>
            <w:hideMark/>
          </w:tcPr>
          <w:p w:rsidR="00BE266D" w:rsidRPr="00A44381" w:rsidRDefault="00BE266D" w:rsidP="00AB32D3">
            <w:r w:rsidRPr="00A44381">
              <w:t>exp dysphagia/</w:t>
            </w:r>
          </w:p>
        </w:tc>
        <w:tc>
          <w:tcPr>
            <w:tcW w:w="0" w:type="auto"/>
            <w:vAlign w:val="center"/>
            <w:hideMark/>
          </w:tcPr>
          <w:p w:rsidR="00BE266D" w:rsidRPr="00A44381" w:rsidRDefault="00BE266D" w:rsidP="00AB32D3">
            <w:r w:rsidRPr="00A44381">
              <w:t>74015</w:t>
            </w:r>
          </w:p>
        </w:tc>
      </w:tr>
      <w:tr w:rsidR="00BE266D" w:rsidRPr="00A44381" w:rsidTr="00AB32D3">
        <w:trPr>
          <w:tblCellSpacing w:w="15" w:type="dxa"/>
        </w:trPr>
        <w:tc>
          <w:tcPr>
            <w:tcW w:w="0" w:type="auto"/>
            <w:vAlign w:val="center"/>
            <w:hideMark/>
          </w:tcPr>
          <w:p w:rsidR="00BE266D" w:rsidRPr="00A44381" w:rsidRDefault="00BE266D" w:rsidP="00AB32D3">
            <w:r w:rsidRPr="00A44381">
              <w:t>14</w:t>
            </w:r>
          </w:p>
        </w:tc>
        <w:tc>
          <w:tcPr>
            <w:tcW w:w="0" w:type="auto"/>
            <w:vAlign w:val="center"/>
            <w:hideMark/>
          </w:tcPr>
          <w:p w:rsidR="00BE266D" w:rsidRPr="00A44381" w:rsidRDefault="00BE266D" w:rsidP="00AB32D3">
            <w:r w:rsidRPr="00A44381">
              <w:t>exp Deglutition Disorders/</w:t>
            </w:r>
          </w:p>
        </w:tc>
        <w:tc>
          <w:tcPr>
            <w:tcW w:w="0" w:type="auto"/>
            <w:vAlign w:val="center"/>
            <w:hideMark/>
          </w:tcPr>
          <w:p w:rsidR="00BE266D" w:rsidRPr="00A44381" w:rsidRDefault="00BE266D" w:rsidP="00AB32D3">
            <w:r w:rsidRPr="00A44381">
              <w:t>74015</w:t>
            </w:r>
          </w:p>
        </w:tc>
      </w:tr>
      <w:tr w:rsidR="00BE266D" w:rsidRPr="00A44381" w:rsidTr="00AB32D3">
        <w:trPr>
          <w:tblCellSpacing w:w="15" w:type="dxa"/>
        </w:trPr>
        <w:tc>
          <w:tcPr>
            <w:tcW w:w="0" w:type="auto"/>
            <w:vAlign w:val="center"/>
            <w:hideMark/>
          </w:tcPr>
          <w:p w:rsidR="00BE266D" w:rsidRPr="00A44381" w:rsidRDefault="00BE266D" w:rsidP="00AB32D3">
            <w:r w:rsidRPr="00A44381">
              <w:t>15</w:t>
            </w:r>
          </w:p>
        </w:tc>
        <w:tc>
          <w:tcPr>
            <w:tcW w:w="0" w:type="auto"/>
            <w:vAlign w:val="center"/>
            <w:hideMark/>
          </w:tcPr>
          <w:p w:rsidR="00BE266D" w:rsidRPr="00A44381" w:rsidRDefault="00BE266D" w:rsidP="00AB32D3">
            <w:r w:rsidRPr="00A44381">
              <w:t>(pneumonia* or pneumonitis or pneumonolipoidosis or aspiration or "mendelson syndrome" or "mendelsons syndrome" or "pulmonary inflammation*" or "lung inflammation*" or pneumonitides or "inflamatory lung disease*" or lobitis or peripneumonia* or pleuropneumonia* or pleuropneumonitis or pneumonic or "pulmonal inflammation*" or "pulmonic inflammation*" or dysphagia or "deglutition disorder*" or "paterson kelly syndrome" or "plummer syndrome" or "plummer vinson" or "swallowing disorder*" or "oculopharyngeal muscular dystrophy" or odynophagia or "Wallenberg syndrome").mp. [mp=ti, ab, sh, hw, tn, ot, dm, mf, dv, kw, nm, kf, ps, rs, ui, tx, ct]</w:t>
            </w:r>
          </w:p>
        </w:tc>
        <w:tc>
          <w:tcPr>
            <w:tcW w:w="0" w:type="auto"/>
            <w:vAlign w:val="center"/>
            <w:hideMark/>
          </w:tcPr>
          <w:p w:rsidR="00BE266D" w:rsidRPr="00A44381" w:rsidRDefault="00BE266D" w:rsidP="00AB32D3">
            <w:r w:rsidRPr="00A44381">
              <w:t>558925</w:t>
            </w:r>
          </w:p>
        </w:tc>
      </w:tr>
      <w:tr w:rsidR="00BE266D" w:rsidRPr="00A44381" w:rsidTr="00AB32D3">
        <w:trPr>
          <w:tblCellSpacing w:w="15" w:type="dxa"/>
        </w:trPr>
        <w:tc>
          <w:tcPr>
            <w:tcW w:w="0" w:type="auto"/>
            <w:vAlign w:val="center"/>
            <w:hideMark/>
          </w:tcPr>
          <w:p w:rsidR="00BE266D" w:rsidRPr="00A44381" w:rsidRDefault="00BE266D" w:rsidP="00AB32D3">
            <w:r w:rsidRPr="00A44381">
              <w:t>16</w:t>
            </w:r>
          </w:p>
        </w:tc>
        <w:tc>
          <w:tcPr>
            <w:tcW w:w="0" w:type="auto"/>
            <w:vAlign w:val="center"/>
            <w:hideMark/>
          </w:tcPr>
          <w:p w:rsidR="00BE266D" w:rsidRPr="00A44381" w:rsidRDefault="00BE266D" w:rsidP="00AB32D3">
            <w:r w:rsidRPr="00A44381">
              <w:t>or/12-15</w:t>
            </w:r>
          </w:p>
        </w:tc>
        <w:tc>
          <w:tcPr>
            <w:tcW w:w="0" w:type="auto"/>
            <w:vAlign w:val="center"/>
            <w:hideMark/>
          </w:tcPr>
          <w:p w:rsidR="00BE266D" w:rsidRPr="00A44381" w:rsidRDefault="00BE266D" w:rsidP="00AB32D3">
            <w:r w:rsidRPr="00A44381">
              <w:t>600280</w:t>
            </w:r>
          </w:p>
        </w:tc>
      </w:tr>
      <w:tr w:rsidR="00BE266D" w:rsidRPr="00A44381" w:rsidTr="00AB32D3">
        <w:trPr>
          <w:tblCellSpacing w:w="15" w:type="dxa"/>
        </w:trPr>
        <w:tc>
          <w:tcPr>
            <w:tcW w:w="0" w:type="auto"/>
            <w:vAlign w:val="center"/>
            <w:hideMark/>
          </w:tcPr>
          <w:p w:rsidR="00BE266D" w:rsidRPr="00A44381" w:rsidRDefault="00BE266D" w:rsidP="00AB32D3">
            <w:r w:rsidRPr="00A44381">
              <w:t>17</w:t>
            </w:r>
          </w:p>
        </w:tc>
        <w:tc>
          <w:tcPr>
            <w:tcW w:w="0" w:type="auto"/>
            <w:vAlign w:val="center"/>
            <w:hideMark/>
          </w:tcPr>
          <w:p w:rsidR="00BE266D" w:rsidRPr="00A44381" w:rsidRDefault="00BE266D" w:rsidP="00AB32D3">
            <w:r w:rsidRPr="00A44381">
              <w:t>exp Fluoroscopy/</w:t>
            </w:r>
          </w:p>
        </w:tc>
        <w:tc>
          <w:tcPr>
            <w:tcW w:w="0" w:type="auto"/>
            <w:vAlign w:val="center"/>
            <w:hideMark/>
          </w:tcPr>
          <w:p w:rsidR="00BE266D" w:rsidRPr="00A44381" w:rsidRDefault="00BE266D" w:rsidP="00AB32D3">
            <w:r w:rsidRPr="00A44381">
              <w:t>36084</w:t>
            </w:r>
          </w:p>
        </w:tc>
      </w:tr>
      <w:tr w:rsidR="00BE266D" w:rsidRPr="00A44381" w:rsidTr="00AB32D3">
        <w:trPr>
          <w:tblCellSpacing w:w="15" w:type="dxa"/>
        </w:trPr>
        <w:tc>
          <w:tcPr>
            <w:tcW w:w="0" w:type="auto"/>
            <w:vAlign w:val="center"/>
            <w:hideMark/>
          </w:tcPr>
          <w:p w:rsidR="00BE266D" w:rsidRPr="00A44381" w:rsidRDefault="00BE266D" w:rsidP="00AB32D3">
            <w:r w:rsidRPr="00A44381">
              <w:t>18</w:t>
            </w:r>
          </w:p>
        </w:tc>
        <w:tc>
          <w:tcPr>
            <w:tcW w:w="0" w:type="auto"/>
            <w:vAlign w:val="center"/>
            <w:hideMark/>
          </w:tcPr>
          <w:p w:rsidR="00BE266D" w:rsidRPr="00A44381" w:rsidRDefault="00BE266D" w:rsidP="00AB32D3">
            <w:r w:rsidRPr="00A44381">
              <w:t>exp bronchoscopy/</w:t>
            </w:r>
          </w:p>
        </w:tc>
        <w:tc>
          <w:tcPr>
            <w:tcW w:w="0" w:type="auto"/>
            <w:vAlign w:val="center"/>
            <w:hideMark/>
          </w:tcPr>
          <w:p w:rsidR="00BE266D" w:rsidRPr="00A44381" w:rsidRDefault="00BE266D" w:rsidP="00AB32D3">
            <w:r w:rsidRPr="00A44381">
              <w:t>47471</w:t>
            </w:r>
          </w:p>
        </w:tc>
      </w:tr>
      <w:tr w:rsidR="00BE266D" w:rsidRPr="00A44381" w:rsidTr="00AB32D3">
        <w:trPr>
          <w:tblCellSpacing w:w="15" w:type="dxa"/>
        </w:trPr>
        <w:tc>
          <w:tcPr>
            <w:tcW w:w="0" w:type="auto"/>
            <w:vAlign w:val="center"/>
            <w:hideMark/>
          </w:tcPr>
          <w:p w:rsidR="00BE266D" w:rsidRPr="00A44381" w:rsidRDefault="00BE266D" w:rsidP="00AB32D3">
            <w:r w:rsidRPr="00A44381">
              <w:t>19</w:t>
            </w:r>
          </w:p>
        </w:tc>
        <w:tc>
          <w:tcPr>
            <w:tcW w:w="0" w:type="auto"/>
            <w:vAlign w:val="center"/>
            <w:hideMark/>
          </w:tcPr>
          <w:p w:rsidR="00BE266D" w:rsidRPr="00A44381" w:rsidRDefault="00BE266D" w:rsidP="00AB32D3">
            <w:r w:rsidRPr="00A44381">
              <w:t>(fluoroscop* or videofluoroscop* or "fluorescence radiation" or "fluorescence scan*" or "fluorescent scan*" or fluorophotograph* or photofluoroscop* or radiofluoroscop* or "roentgen fluoroscop*" or roentgenfluoroscop* or bronchoscop* or "bronchial endoscop*" or laryngotracheobronchoscop* or tracheobronchoscop*).mp. [mp=ti, ab, sh, hw, tn, ot, dm, mf, dv, kw, nm, kf, ps, rs, ui, tx, ct]</w:t>
            </w:r>
          </w:p>
        </w:tc>
        <w:tc>
          <w:tcPr>
            <w:tcW w:w="0" w:type="auto"/>
            <w:vAlign w:val="center"/>
            <w:hideMark/>
          </w:tcPr>
          <w:p w:rsidR="00BE266D" w:rsidRPr="00A44381" w:rsidRDefault="00BE266D" w:rsidP="00AB32D3">
            <w:r w:rsidRPr="00A44381">
              <w:t>118455</w:t>
            </w:r>
          </w:p>
        </w:tc>
      </w:tr>
      <w:tr w:rsidR="00BE266D" w:rsidRPr="00A44381" w:rsidTr="00AB32D3">
        <w:trPr>
          <w:tblCellSpacing w:w="15" w:type="dxa"/>
        </w:trPr>
        <w:tc>
          <w:tcPr>
            <w:tcW w:w="0" w:type="auto"/>
            <w:vAlign w:val="center"/>
            <w:hideMark/>
          </w:tcPr>
          <w:p w:rsidR="00BE266D" w:rsidRPr="00A44381" w:rsidRDefault="00BE266D" w:rsidP="00AB32D3">
            <w:r w:rsidRPr="00A44381">
              <w:lastRenderedPageBreak/>
              <w:t>20</w:t>
            </w:r>
          </w:p>
        </w:tc>
        <w:tc>
          <w:tcPr>
            <w:tcW w:w="0" w:type="auto"/>
            <w:vAlign w:val="center"/>
            <w:hideMark/>
          </w:tcPr>
          <w:p w:rsidR="00BE266D" w:rsidRPr="00A44381" w:rsidRDefault="00BE266D" w:rsidP="00AB32D3">
            <w:r w:rsidRPr="00A44381">
              <w:t>or/17-19</w:t>
            </w:r>
          </w:p>
        </w:tc>
        <w:tc>
          <w:tcPr>
            <w:tcW w:w="0" w:type="auto"/>
            <w:vAlign w:val="center"/>
            <w:hideMark/>
          </w:tcPr>
          <w:p w:rsidR="00BE266D" w:rsidRPr="00A44381" w:rsidRDefault="00BE266D" w:rsidP="00AB32D3">
            <w:r w:rsidRPr="00A44381">
              <w:t>118776</w:t>
            </w:r>
          </w:p>
        </w:tc>
      </w:tr>
      <w:tr w:rsidR="00BE266D" w:rsidRPr="00A44381" w:rsidTr="00AB32D3">
        <w:trPr>
          <w:tblCellSpacing w:w="15" w:type="dxa"/>
        </w:trPr>
        <w:tc>
          <w:tcPr>
            <w:tcW w:w="0" w:type="auto"/>
            <w:vAlign w:val="center"/>
            <w:hideMark/>
          </w:tcPr>
          <w:p w:rsidR="00BE266D" w:rsidRPr="00A44381" w:rsidRDefault="00BE266D" w:rsidP="00AB32D3">
            <w:r w:rsidRPr="00A44381">
              <w:t>21</w:t>
            </w:r>
          </w:p>
        </w:tc>
        <w:tc>
          <w:tcPr>
            <w:tcW w:w="0" w:type="auto"/>
            <w:vAlign w:val="center"/>
            <w:hideMark/>
          </w:tcPr>
          <w:p w:rsidR="00BE266D" w:rsidRPr="00A44381" w:rsidRDefault="00BE266D" w:rsidP="00AB32D3">
            <w:r w:rsidRPr="00A44381">
              <w:t>11 and 16 and 20</w:t>
            </w:r>
          </w:p>
        </w:tc>
        <w:tc>
          <w:tcPr>
            <w:tcW w:w="0" w:type="auto"/>
            <w:vAlign w:val="center"/>
            <w:hideMark/>
          </w:tcPr>
          <w:p w:rsidR="00BE266D" w:rsidRPr="00A44381" w:rsidRDefault="00BE266D" w:rsidP="00AB32D3">
            <w:r w:rsidRPr="00A44381">
              <w:t>1663</w:t>
            </w:r>
          </w:p>
        </w:tc>
      </w:tr>
      <w:tr w:rsidR="00BE266D" w:rsidRPr="00A44381" w:rsidTr="00AB32D3">
        <w:trPr>
          <w:tblCellSpacing w:w="15" w:type="dxa"/>
        </w:trPr>
        <w:tc>
          <w:tcPr>
            <w:tcW w:w="0" w:type="auto"/>
            <w:vAlign w:val="center"/>
            <w:hideMark/>
          </w:tcPr>
          <w:p w:rsidR="00BE266D" w:rsidRPr="00A44381" w:rsidRDefault="00BE266D" w:rsidP="00AB32D3">
            <w:r w:rsidRPr="00A44381">
              <w:t>22</w:t>
            </w:r>
          </w:p>
        </w:tc>
        <w:tc>
          <w:tcPr>
            <w:tcW w:w="0" w:type="auto"/>
            <w:vAlign w:val="center"/>
            <w:hideMark/>
          </w:tcPr>
          <w:p w:rsidR="00BE266D" w:rsidRPr="00A44381" w:rsidRDefault="00BE266D" w:rsidP="00AB32D3">
            <w:r w:rsidRPr="00A44381">
              <w:t>exp controlled study/</w:t>
            </w:r>
          </w:p>
        </w:tc>
        <w:tc>
          <w:tcPr>
            <w:tcW w:w="0" w:type="auto"/>
            <w:vAlign w:val="center"/>
            <w:hideMark/>
          </w:tcPr>
          <w:p w:rsidR="00BE266D" w:rsidRPr="00A44381" w:rsidRDefault="00BE266D" w:rsidP="00AB32D3">
            <w:r w:rsidRPr="00A44381">
              <w:t>4129413</w:t>
            </w:r>
          </w:p>
        </w:tc>
      </w:tr>
      <w:tr w:rsidR="00BE266D" w:rsidRPr="00A44381" w:rsidTr="00AB32D3">
        <w:trPr>
          <w:tblCellSpacing w:w="15" w:type="dxa"/>
        </w:trPr>
        <w:tc>
          <w:tcPr>
            <w:tcW w:w="0" w:type="auto"/>
            <w:vAlign w:val="center"/>
            <w:hideMark/>
          </w:tcPr>
          <w:p w:rsidR="00BE266D" w:rsidRPr="00A44381" w:rsidRDefault="00BE266D" w:rsidP="00AB32D3">
            <w:r w:rsidRPr="00A44381">
              <w:t>23</w:t>
            </w:r>
          </w:p>
        </w:tc>
        <w:tc>
          <w:tcPr>
            <w:tcW w:w="0" w:type="auto"/>
            <w:vAlign w:val="center"/>
            <w:hideMark/>
          </w:tcPr>
          <w:p w:rsidR="00BE266D" w:rsidRPr="00A44381" w:rsidRDefault="00BE266D" w:rsidP="00AB32D3">
            <w:r w:rsidRPr="00A44381">
              <w:t>exp randomized controlled trial/</w:t>
            </w:r>
          </w:p>
        </w:tc>
        <w:tc>
          <w:tcPr>
            <w:tcW w:w="0" w:type="auto"/>
            <w:vAlign w:val="center"/>
            <w:hideMark/>
          </w:tcPr>
          <w:p w:rsidR="00BE266D" w:rsidRPr="00A44381" w:rsidRDefault="00BE266D" w:rsidP="00AB32D3">
            <w:r w:rsidRPr="00A44381">
              <w:t>679180</w:t>
            </w:r>
          </w:p>
        </w:tc>
      </w:tr>
      <w:tr w:rsidR="00BE266D" w:rsidRPr="00A44381" w:rsidTr="00AB32D3">
        <w:trPr>
          <w:tblCellSpacing w:w="15" w:type="dxa"/>
        </w:trPr>
        <w:tc>
          <w:tcPr>
            <w:tcW w:w="0" w:type="auto"/>
            <w:vAlign w:val="center"/>
            <w:hideMark/>
          </w:tcPr>
          <w:p w:rsidR="00BE266D" w:rsidRPr="00A44381" w:rsidRDefault="00BE266D" w:rsidP="00AB32D3">
            <w:r w:rsidRPr="00A44381">
              <w:t>24</w:t>
            </w:r>
          </w:p>
        </w:tc>
        <w:tc>
          <w:tcPr>
            <w:tcW w:w="0" w:type="auto"/>
            <w:vAlign w:val="center"/>
            <w:hideMark/>
          </w:tcPr>
          <w:p w:rsidR="00BE266D" w:rsidRPr="00A44381" w:rsidRDefault="00BE266D" w:rsidP="00AB32D3">
            <w:r w:rsidRPr="00A44381">
              <w:t>((control$ or randomized) adj2 (study or studies or trial or trials)).mp. [mp=ti, ab, sh, hw, tn, ot, dm, mf, dv, kw, nm, kf, ps, rs, ui, tx, ct]</w:t>
            </w:r>
          </w:p>
        </w:tc>
        <w:tc>
          <w:tcPr>
            <w:tcW w:w="0" w:type="auto"/>
            <w:vAlign w:val="center"/>
            <w:hideMark/>
          </w:tcPr>
          <w:p w:rsidR="00BE266D" w:rsidRPr="00A44381" w:rsidRDefault="00BE266D" w:rsidP="00AB32D3">
            <w:r w:rsidRPr="00A44381">
              <w:t>5288921</w:t>
            </w:r>
          </w:p>
        </w:tc>
      </w:tr>
      <w:tr w:rsidR="00BE266D" w:rsidRPr="00A44381" w:rsidTr="00AB32D3">
        <w:trPr>
          <w:tblCellSpacing w:w="15" w:type="dxa"/>
        </w:trPr>
        <w:tc>
          <w:tcPr>
            <w:tcW w:w="0" w:type="auto"/>
            <w:vAlign w:val="center"/>
            <w:hideMark/>
          </w:tcPr>
          <w:p w:rsidR="00BE266D" w:rsidRPr="00A44381" w:rsidRDefault="00BE266D" w:rsidP="00AB32D3">
            <w:r w:rsidRPr="00A44381">
              <w:t>25</w:t>
            </w:r>
          </w:p>
        </w:tc>
        <w:tc>
          <w:tcPr>
            <w:tcW w:w="0" w:type="auto"/>
            <w:vAlign w:val="center"/>
            <w:hideMark/>
          </w:tcPr>
          <w:p w:rsidR="00BE266D" w:rsidRPr="00A44381" w:rsidRDefault="00BE266D" w:rsidP="00AB32D3">
            <w:r w:rsidRPr="00A44381">
              <w:t>meta analysis/</w:t>
            </w:r>
          </w:p>
        </w:tc>
        <w:tc>
          <w:tcPr>
            <w:tcW w:w="0" w:type="auto"/>
            <w:vAlign w:val="center"/>
            <w:hideMark/>
          </w:tcPr>
          <w:p w:rsidR="00BE266D" w:rsidRPr="00A44381" w:rsidRDefault="00BE266D" w:rsidP="00AB32D3">
            <w:r w:rsidRPr="00A44381">
              <w:t>111857</w:t>
            </w:r>
          </w:p>
        </w:tc>
      </w:tr>
      <w:tr w:rsidR="00BE266D" w:rsidRPr="00A44381" w:rsidTr="00AB32D3">
        <w:trPr>
          <w:tblCellSpacing w:w="15" w:type="dxa"/>
        </w:trPr>
        <w:tc>
          <w:tcPr>
            <w:tcW w:w="0" w:type="auto"/>
            <w:vAlign w:val="center"/>
            <w:hideMark/>
          </w:tcPr>
          <w:p w:rsidR="00BE266D" w:rsidRPr="00A44381" w:rsidRDefault="00BE266D" w:rsidP="00AB32D3">
            <w:r w:rsidRPr="00A44381">
              <w:t>26</w:t>
            </w:r>
          </w:p>
        </w:tc>
        <w:tc>
          <w:tcPr>
            <w:tcW w:w="0" w:type="auto"/>
            <w:vAlign w:val="center"/>
            <w:hideMark/>
          </w:tcPr>
          <w:p w:rsidR="00BE266D" w:rsidRPr="00A44381" w:rsidRDefault="00BE266D" w:rsidP="00AB32D3">
            <w:r w:rsidRPr="00A44381">
              <w:t>meta-analys$.mp.</w:t>
            </w:r>
          </w:p>
        </w:tc>
        <w:tc>
          <w:tcPr>
            <w:tcW w:w="0" w:type="auto"/>
            <w:vAlign w:val="center"/>
            <w:hideMark/>
          </w:tcPr>
          <w:p w:rsidR="00BE266D" w:rsidRPr="00A44381" w:rsidRDefault="00BE266D" w:rsidP="00AB32D3">
            <w:r w:rsidRPr="00A44381">
              <w:t>182028</w:t>
            </w:r>
          </w:p>
        </w:tc>
      </w:tr>
      <w:tr w:rsidR="00BE266D" w:rsidRPr="00A44381" w:rsidTr="00AB32D3">
        <w:trPr>
          <w:tblCellSpacing w:w="15" w:type="dxa"/>
        </w:trPr>
        <w:tc>
          <w:tcPr>
            <w:tcW w:w="0" w:type="auto"/>
            <w:vAlign w:val="center"/>
            <w:hideMark/>
          </w:tcPr>
          <w:p w:rsidR="00BE266D" w:rsidRPr="00A44381" w:rsidRDefault="00BE266D" w:rsidP="00AB32D3">
            <w:r w:rsidRPr="00A44381">
              <w:t>27</w:t>
            </w:r>
          </w:p>
        </w:tc>
        <w:tc>
          <w:tcPr>
            <w:tcW w:w="0" w:type="auto"/>
            <w:vAlign w:val="center"/>
            <w:hideMark/>
          </w:tcPr>
          <w:p w:rsidR="00BE266D" w:rsidRPr="00A44381" w:rsidRDefault="00BE266D" w:rsidP="00AB32D3">
            <w:r w:rsidRPr="00A44381">
              <w:t>exp "systematic review"/</w:t>
            </w:r>
          </w:p>
        </w:tc>
        <w:tc>
          <w:tcPr>
            <w:tcW w:w="0" w:type="auto"/>
            <w:vAlign w:val="center"/>
            <w:hideMark/>
          </w:tcPr>
          <w:p w:rsidR="00BE266D" w:rsidRPr="00A44381" w:rsidRDefault="00BE266D" w:rsidP="00AB32D3">
            <w:r w:rsidRPr="00A44381">
              <w:t>60732</w:t>
            </w:r>
          </w:p>
        </w:tc>
      </w:tr>
      <w:tr w:rsidR="00BE266D" w:rsidRPr="00A44381" w:rsidTr="00AB32D3">
        <w:trPr>
          <w:tblCellSpacing w:w="15" w:type="dxa"/>
        </w:trPr>
        <w:tc>
          <w:tcPr>
            <w:tcW w:w="0" w:type="auto"/>
            <w:vAlign w:val="center"/>
            <w:hideMark/>
          </w:tcPr>
          <w:p w:rsidR="00BE266D" w:rsidRPr="00A44381" w:rsidRDefault="00BE266D" w:rsidP="00AB32D3">
            <w:r w:rsidRPr="00A44381">
              <w:t>28</w:t>
            </w:r>
          </w:p>
        </w:tc>
        <w:tc>
          <w:tcPr>
            <w:tcW w:w="0" w:type="auto"/>
            <w:vAlign w:val="center"/>
            <w:hideMark/>
          </w:tcPr>
          <w:p w:rsidR="00BE266D" w:rsidRPr="00A44381" w:rsidRDefault="00BE266D" w:rsidP="00AB32D3">
            <w:r w:rsidRPr="00A44381">
              <w:t>(systematic* adj review$).mp.</w:t>
            </w:r>
          </w:p>
        </w:tc>
        <w:tc>
          <w:tcPr>
            <w:tcW w:w="0" w:type="auto"/>
            <w:vAlign w:val="center"/>
            <w:hideMark/>
          </w:tcPr>
          <w:p w:rsidR="00BE266D" w:rsidRPr="00A44381" w:rsidRDefault="00BE266D" w:rsidP="00AB32D3">
            <w:r w:rsidRPr="00A44381">
              <w:t>141736</w:t>
            </w:r>
          </w:p>
        </w:tc>
      </w:tr>
      <w:tr w:rsidR="00BE266D" w:rsidRPr="00A44381" w:rsidTr="00AB32D3">
        <w:trPr>
          <w:tblCellSpacing w:w="15" w:type="dxa"/>
        </w:trPr>
        <w:tc>
          <w:tcPr>
            <w:tcW w:w="0" w:type="auto"/>
            <w:vAlign w:val="center"/>
            <w:hideMark/>
          </w:tcPr>
          <w:p w:rsidR="00BE266D" w:rsidRPr="00A44381" w:rsidRDefault="00BE266D" w:rsidP="00AB32D3">
            <w:r w:rsidRPr="00A44381">
              <w:t>29</w:t>
            </w:r>
          </w:p>
        </w:tc>
        <w:tc>
          <w:tcPr>
            <w:tcW w:w="0" w:type="auto"/>
            <w:vAlign w:val="center"/>
            <w:hideMark/>
          </w:tcPr>
          <w:p w:rsidR="00BE266D" w:rsidRPr="00A44381" w:rsidRDefault="00BE266D" w:rsidP="00AB32D3">
            <w:r w:rsidRPr="00A44381">
              <w:t>exp Cohort Studies/</w:t>
            </w:r>
          </w:p>
        </w:tc>
        <w:tc>
          <w:tcPr>
            <w:tcW w:w="0" w:type="auto"/>
            <w:vAlign w:val="center"/>
            <w:hideMark/>
          </w:tcPr>
          <w:p w:rsidR="00BE266D" w:rsidRPr="00A44381" w:rsidRDefault="00BE266D" w:rsidP="00AB32D3">
            <w:r w:rsidRPr="00A44381">
              <w:t>1509035</w:t>
            </w:r>
          </w:p>
        </w:tc>
      </w:tr>
      <w:tr w:rsidR="00BE266D" w:rsidRPr="00A44381" w:rsidTr="00AB32D3">
        <w:trPr>
          <w:tblCellSpacing w:w="15" w:type="dxa"/>
        </w:trPr>
        <w:tc>
          <w:tcPr>
            <w:tcW w:w="0" w:type="auto"/>
            <w:vAlign w:val="center"/>
            <w:hideMark/>
          </w:tcPr>
          <w:p w:rsidR="00BE266D" w:rsidRPr="00A44381" w:rsidRDefault="00BE266D" w:rsidP="00AB32D3">
            <w:r w:rsidRPr="00A44381">
              <w:t>30</w:t>
            </w:r>
          </w:p>
        </w:tc>
        <w:tc>
          <w:tcPr>
            <w:tcW w:w="0" w:type="auto"/>
            <w:vAlign w:val="center"/>
            <w:hideMark/>
          </w:tcPr>
          <w:p w:rsidR="00BE266D" w:rsidRPr="00A44381" w:rsidRDefault="00BE266D" w:rsidP="00AB32D3">
            <w:r w:rsidRPr="00A44381">
              <w:t>exp longitudinal study/</w:t>
            </w:r>
          </w:p>
        </w:tc>
        <w:tc>
          <w:tcPr>
            <w:tcW w:w="0" w:type="auto"/>
            <w:vAlign w:val="center"/>
            <w:hideMark/>
          </w:tcPr>
          <w:p w:rsidR="00BE266D" w:rsidRPr="00A44381" w:rsidRDefault="00BE266D" w:rsidP="00AB32D3">
            <w:r w:rsidRPr="00A44381">
              <w:t>971223</w:t>
            </w:r>
          </w:p>
        </w:tc>
      </w:tr>
      <w:tr w:rsidR="00BE266D" w:rsidRPr="00A44381" w:rsidTr="00AB32D3">
        <w:trPr>
          <w:tblCellSpacing w:w="15" w:type="dxa"/>
        </w:trPr>
        <w:tc>
          <w:tcPr>
            <w:tcW w:w="0" w:type="auto"/>
            <w:vAlign w:val="center"/>
            <w:hideMark/>
          </w:tcPr>
          <w:p w:rsidR="00BE266D" w:rsidRPr="00A44381" w:rsidRDefault="00BE266D" w:rsidP="00AB32D3">
            <w:r w:rsidRPr="00A44381">
              <w:t>31</w:t>
            </w:r>
          </w:p>
        </w:tc>
        <w:tc>
          <w:tcPr>
            <w:tcW w:w="0" w:type="auto"/>
            <w:vAlign w:val="center"/>
            <w:hideMark/>
          </w:tcPr>
          <w:p w:rsidR="00BE266D" w:rsidRPr="00A44381" w:rsidRDefault="00BE266D" w:rsidP="00AB32D3">
            <w:r w:rsidRPr="00A44381">
              <w:t>exp retrospective study/</w:t>
            </w:r>
          </w:p>
        </w:tc>
        <w:tc>
          <w:tcPr>
            <w:tcW w:w="0" w:type="auto"/>
            <w:vAlign w:val="center"/>
            <w:hideMark/>
          </w:tcPr>
          <w:p w:rsidR="00BE266D" w:rsidRPr="00A44381" w:rsidRDefault="00BE266D" w:rsidP="00AB32D3">
            <w:r w:rsidRPr="00A44381">
              <w:t>764560</w:t>
            </w:r>
          </w:p>
        </w:tc>
      </w:tr>
      <w:tr w:rsidR="00BE266D" w:rsidRPr="00A44381" w:rsidTr="00AB32D3">
        <w:trPr>
          <w:tblCellSpacing w:w="15" w:type="dxa"/>
        </w:trPr>
        <w:tc>
          <w:tcPr>
            <w:tcW w:w="0" w:type="auto"/>
            <w:vAlign w:val="center"/>
            <w:hideMark/>
          </w:tcPr>
          <w:p w:rsidR="00BE266D" w:rsidRPr="00A44381" w:rsidRDefault="00BE266D" w:rsidP="00AB32D3">
            <w:r w:rsidRPr="00A44381">
              <w:t>32</w:t>
            </w:r>
          </w:p>
        </w:tc>
        <w:tc>
          <w:tcPr>
            <w:tcW w:w="0" w:type="auto"/>
            <w:vAlign w:val="center"/>
            <w:hideMark/>
          </w:tcPr>
          <w:p w:rsidR="00BE266D" w:rsidRPr="00A44381" w:rsidRDefault="00BE266D" w:rsidP="00AB32D3">
            <w:r w:rsidRPr="00A44381">
              <w:t>exp prospective study/</w:t>
            </w:r>
          </w:p>
        </w:tc>
        <w:tc>
          <w:tcPr>
            <w:tcW w:w="0" w:type="auto"/>
            <w:vAlign w:val="center"/>
            <w:hideMark/>
          </w:tcPr>
          <w:p w:rsidR="00BE266D" w:rsidRPr="00A44381" w:rsidRDefault="00BE266D" w:rsidP="00AB32D3">
            <w:r w:rsidRPr="00A44381">
              <w:t>631179</w:t>
            </w:r>
          </w:p>
        </w:tc>
      </w:tr>
      <w:tr w:rsidR="00BE266D" w:rsidRPr="00A44381" w:rsidTr="00AB32D3">
        <w:trPr>
          <w:tblCellSpacing w:w="15" w:type="dxa"/>
        </w:trPr>
        <w:tc>
          <w:tcPr>
            <w:tcW w:w="0" w:type="auto"/>
            <w:vAlign w:val="center"/>
            <w:hideMark/>
          </w:tcPr>
          <w:p w:rsidR="00BE266D" w:rsidRPr="00A44381" w:rsidRDefault="00BE266D" w:rsidP="00AB32D3">
            <w:r w:rsidRPr="00A44381">
              <w:t>33</w:t>
            </w:r>
          </w:p>
        </w:tc>
        <w:tc>
          <w:tcPr>
            <w:tcW w:w="0" w:type="auto"/>
            <w:vAlign w:val="center"/>
            <w:hideMark/>
          </w:tcPr>
          <w:p w:rsidR="00BE266D" w:rsidRPr="00A44381" w:rsidRDefault="00BE266D" w:rsidP="00AB32D3">
            <w:r w:rsidRPr="00A44381">
              <w:t>exp comparative study/</w:t>
            </w:r>
          </w:p>
        </w:tc>
        <w:tc>
          <w:tcPr>
            <w:tcW w:w="0" w:type="auto"/>
            <w:vAlign w:val="center"/>
            <w:hideMark/>
          </w:tcPr>
          <w:p w:rsidR="00BE266D" w:rsidRPr="00A44381" w:rsidRDefault="00BE266D" w:rsidP="00AB32D3">
            <w:r w:rsidRPr="00A44381">
              <w:t>2392157</w:t>
            </w:r>
          </w:p>
        </w:tc>
      </w:tr>
      <w:tr w:rsidR="00BE266D" w:rsidRPr="00A44381" w:rsidTr="00AB32D3">
        <w:trPr>
          <w:tblCellSpacing w:w="15" w:type="dxa"/>
        </w:trPr>
        <w:tc>
          <w:tcPr>
            <w:tcW w:w="0" w:type="auto"/>
            <w:vAlign w:val="center"/>
            <w:hideMark/>
          </w:tcPr>
          <w:p w:rsidR="00BE266D" w:rsidRPr="00A44381" w:rsidRDefault="00BE266D" w:rsidP="00AB32D3">
            <w:r w:rsidRPr="00A44381">
              <w:t>34</w:t>
            </w:r>
          </w:p>
        </w:tc>
        <w:tc>
          <w:tcPr>
            <w:tcW w:w="0" w:type="auto"/>
            <w:vAlign w:val="center"/>
            <w:hideMark/>
          </w:tcPr>
          <w:p w:rsidR="00BE266D" w:rsidRPr="00A44381" w:rsidRDefault="00BE266D" w:rsidP="00AB32D3">
            <w:r w:rsidRPr="00A44381">
              <w:t>exp clinical trial/</w:t>
            </w:r>
          </w:p>
        </w:tc>
        <w:tc>
          <w:tcPr>
            <w:tcW w:w="0" w:type="auto"/>
            <w:vAlign w:val="center"/>
            <w:hideMark/>
          </w:tcPr>
          <w:p w:rsidR="00BE266D" w:rsidRPr="00A44381" w:rsidRDefault="00BE266D" w:rsidP="00AB32D3">
            <w:r w:rsidRPr="00A44381">
              <w:t>1644345</w:t>
            </w:r>
          </w:p>
        </w:tc>
      </w:tr>
      <w:tr w:rsidR="00BE266D" w:rsidRPr="00A44381" w:rsidTr="00AB32D3">
        <w:trPr>
          <w:tblCellSpacing w:w="15" w:type="dxa"/>
        </w:trPr>
        <w:tc>
          <w:tcPr>
            <w:tcW w:w="0" w:type="auto"/>
            <w:vAlign w:val="center"/>
            <w:hideMark/>
          </w:tcPr>
          <w:p w:rsidR="00BE266D" w:rsidRPr="00A44381" w:rsidRDefault="00BE266D" w:rsidP="00AB32D3">
            <w:r w:rsidRPr="00A44381">
              <w:t>35</w:t>
            </w:r>
          </w:p>
        </w:tc>
        <w:tc>
          <w:tcPr>
            <w:tcW w:w="0" w:type="auto"/>
            <w:vAlign w:val="center"/>
            <w:hideMark/>
          </w:tcPr>
          <w:p w:rsidR="00BE266D" w:rsidRPr="00A44381" w:rsidRDefault="00BE266D" w:rsidP="00AB32D3">
            <w:r w:rsidRPr="00A44381">
              <w:t>exp cross-sectional study/</w:t>
            </w:r>
          </w:p>
        </w:tc>
        <w:tc>
          <w:tcPr>
            <w:tcW w:w="0" w:type="auto"/>
            <w:vAlign w:val="center"/>
            <w:hideMark/>
          </w:tcPr>
          <w:p w:rsidR="00BE266D" w:rsidRPr="00A44381" w:rsidRDefault="00BE266D" w:rsidP="00AB32D3">
            <w:r w:rsidRPr="00A44381">
              <w:t>254224</w:t>
            </w:r>
          </w:p>
        </w:tc>
      </w:tr>
      <w:tr w:rsidR="00BE266D" w:rsidRPr="00A44381" w:rsidTr="00AB32D3">
        <w:trPr>
          <w:tblCellSpacing w:w="15" w:type="dxa"/>
        </w:trPr>
        <w:tc>
          <w:tcPr>
            <w:tcW w:w="0" w:type="auto"/>
            <w:vAlign w:val="center"/>
            <w:hideMark/>
          </w:tcPr>
          <w:p w:rsidR="00BE266D" w:rsidRPr="00A44381" w:rsidRDefault="00BE266D" w:rsidP="00AB32D3">
            <w:r w:rsidRPr="00A44381">
              <w:t>36</w:t>
            </w:r>
          </w:p>
        </w:tc>
        <w:tc>
          <w:tcPr>
            <w:tcW w:w="0" w:type="auto"/>
            <w:vAlign w:val="center"/>
            <w:hideMark/>
          </w:tcPr>
          <w:p w:rsidR="00BE266D" w:rsidRPr="00A44381" w:rsidRDefault="00BE266D" w:rsidP="00AB32D3">
            <w:r w:rsidRPr="00A44381">
              <w:t>crossover procedure/</w:t>
            </w:r>
          </w:p>
        </w:tc>
        <w:tc>
          <w:tcPr>
            <w:tcW w:w="0" w:type="auto"/>
            <w:vAlign w:val="center"/>
            <w:hideMark/>
          </w:tcPr>
          <w:p w:rsidR="00BE266D" w:rsidRPr="00A44381" w:rsidRDefault="00BE266D" w:rsidP="00AB32D3">
            <w:r w:rsidRPr="00A44381">
              <w:t>36984</w:t>
            </w:r>
          </w:p>
        </w:tc>
      </w:tr>
      <w:tr w:rsidR="00BE266D" w:rsidRPr="00A44381" w:rsidTr="00AB32D3">
        <w:trPr>
          <w:tblCellSpacing w:w="15" w:type="dxa"/>
        </w:trPr>
        <w:tc>
          <w:tcPr>
            <w:tcW w:w="0" w:type="auto"/>
            <w:vAlign w:val="center"/>
            <w:hideMark/>
          </w:tcPr>
          <w:p w:rsidR="00BE266D" w:rsidRPr="00A44381" w:rsidRDefault="00BE266D" w:rsidP="00AB32D3">
            <w:r w:rsidRPr="00A44381">
              <w:t>37</w:t>
            </w:r>
          </w:p>
        </w:tc>
        <w:tc>
          <w:tcPr>
            <w:tcW w:w="0" w:type="auto"/>
            <w:vAlign w:val="center"/>
            <w:hideMark/>
          </w:tcPr>
          <w:p w:rsidR="00BE266D" w:rsidRPr="00A44381" w:rsidRDefault="00BE266D" w:rsidP="00AB32D3">
            <w:r w:rsidRPr="00A44381">
              <w:t>exp cross-over studies/</w:t>
            </w:r>
          </w:p>
        </w:tc>
        <w:tc>
          <w:tcPr>
            <w:tcW w:w="0" w:type="auto"/>
            <w:vAlign w:val="center"/>
            <w:hideMark/>
          </w:tcPr>
          <w:p w:rsidR="00BE266D" w:rsidRPr="00A44381" w:rsidRDefault="00BE266D" w:rsidP="00AB32D3">
            <w:r w:rsidRPr="00A44381">
              <w:t>92612</w:t>
            </w:r>
          </w:p>
        </w:tc>
      </w:tr>
      <w:tr w:rsidR="00BE266D" w:rsidRPr="00A44381" w:rsidTr="00AB32D3">
        <w:trPr>
          <w:tblCellSpacing w:w="15" w:type="dxa"/>
        </w:trPr>
        <w:tc>
          <w:tcPr>
            <w:tcW w:w="0" w:type="auto"/>
            <w:vAlign w:val="center"/>
            <w:hideMark/>
          </w:tcPr>
          <w:p w:rsidR="00BE266D" w:rsidRPr="00A44381" w:rsidRDefault="00BE266D" w:rsidP="00AB32D3">
            <w:r w:rsidRPr="00A44381">
              <w:t>38</w:t>
            </w:r>
          </w:p>
        </w:tc>
        <w:tc>
          <w:tcPr>
            <w:tcW w:w="0" w:type="auto"/>
            <w:vAlign w:val="center"/>
            <w:hideMark/>
          </w:tcPr>
          <w:p w:rsidR="00BE266D" w:rsidRPr="00A44381" w:rsidRDefault="00BE266D" w:rsidP="00AB32D3">
            <w:r w:rsidRPr="00A44381">
              <w:t>multivariate analysis/</w:t>
            </w:r>
          </w:p>
        </w:tc>
        <w:tc>
          <w:tcPr>
            <w:tcW w:w="0" w:type="auto"/>
            <w:vAlign w:val="center"/>
            <w:hideMark/>
          </w:tcPr>
          <w:p w:rsidR="00BE266D" w:rsidRPr="00A44381" w:rsidRDefault="00BE266D" w:rsidP="00AB32D3">
            <w:r w:rsidRPr="00A44381">
              <w:t>170964</w:t>
            </w:r>
          </w:p>
        </w:tc>
      </w:tr>
      <w:tr w:rsidR="00BE266D" w:rsidRPr="00A44381" w:rsidTr="00AB32D3">
        <w:trPr>
          <w:tblCellSpacing w:w="15" w:type="dxa"/>
        </w:trPr>
        <w:tc>
          <w:tcPr>
            <w:tcW w:w="0" w:type="auto"/>
            <w:vAlign w:val="center"/>
            <w:hideMark/>
          </w:tcPr>
          <w:p w:rsidR="00BE266D" w:rsidRPr="00A44381" w:rsidRDefault="00BE266D" w:rsidP="00AB32D3">
            <w:r w:rsidRPr="00A44381">
              <w:t>39</w:t>
            </w:r>
          </w:p>
        </w:tc>
        <w:tc>
          <w:tcPr>
            <w:tcW w:w="0" w:type="auto"/>
            <w:vAlign w:val="center"/>
            <w:hideMark/>
          </w:tcPr>
          <w:p w:rsidR="00BE266D" w:rsidRPr="00A44381" w:rsidRDefault="00BE266D" w:rsidP="00AB32D3">
            <w:r w:rsidRPr="00A44381">
              <w:t>((clinical or comparative or cohort or longitudinal or retrospective or prospective or concurrent or "cross- sectional" or crossover or "cross-over") adj (study or studies or survey or surveys or analysis or analyses or trial or trials)).mp.</w:t>
            </w:r>
          </w:p>
        </w:tc>
        <w:tc>
          <w:tcPr>
            <w:tcW w:w="0" w:type="auto"/>
            <w:vAlign w:val="center"/>
            <w:hideMark/>
          </w:tcPr>
          <w:p w:rsidR="00BE266D" w:rsidRPr="00A44381" w:rsidRDefault="00BE266D" w:rsidP="00AB32D3">
            <w:r w:rsidRPr="00A44381">
              <w:t>6851093</w:t>
            </w:r>
          </w:p>
        </w:tc>
      </w:tr>
      <w:tr w:rsidR="00BE266D" w:rsidRPr="00A44381" w:rsidTr="00AB32D3">
        <w:trPr>
          <w:tblCellSpacing w:w="15" w:type="dxa"/>
        </w:trPr>
        <w:tc>
          <w:tcPr>
            <w:tcW w:w="0" w:type="auto"/>
            <w:vAlign w:val="center"/>
            <w:hideMark/>
          </w:tcPr>
          <w:p w:rsidR="00BE266D" w:rsidRPr="00A44381" w:rsidRDefault="00BE266D" w:rsidP="00AB32D3">
            <w:r w:rsidRPr="00A44381">
              <w:t>40</w:t>
            </w:r>
          </w:p>
        </w:tc>
        <w:tc>
          <w:tcPr>
            <w:tcW w:w="0" w:type="auto"/>
            <w:vAlign w:val="center"/>
            <w:hideMark/>
          </w:tcPr>
          <w:p w:rsidR="00BE266D" w:rsidRPr="00A44381" w:rsidRDefault="00BE266D" w:rsidP="00AB32D3">
            <w:r w:rsidRPr="00A44381">
              <w:t>("crossover procedure" or "cross-over procedure" or "multivariate analys*").mp. [mp=ti, ab, sh, hw, tn, ot, dm, mf, dv, kw, nm, kf, ps, rs, ui, tx, ct]</w:t>
            </w:r>
          </w:p>
        </w:tc>
        <w:tc>
          <w:tcPr>
            <w:tcW w:w="0" w:type="auto"/>
            <w:vAlign w:val="center"/>
            <w:hideMark/>
          </w:tcPr>
          <w:p w:rsidR="00BE266D" w:rsidRPr="00A44381" w:rsidRDefault="00BE266D" w:rsidP="00AB32D3">
            <w:r w:rsidRPr="00A44381">
              <w:t>350994</w:t>
            </w:r>
          </w:p>
        </w:tc>
      </w:tr>
      <w:tr w:rsidR="00BE266D" w:rsidRPr="00A44381" w:rsidTr="00AB32D3">
        <w:trPr>
          <w:tblCellSpacing w:w="15" w:type="dxa"/>
        </w:trPr>
        <w:tc>
          <w:tcPr>
            <w:tcW w:w="0" w:type="auto"/>
            <w:vAlign w:val="center"/>
            <w:hideMark/>
          </w:tcPr>
          <w:p w:rsidR="00BE266D" w:rsidRPr="00A44381" w:rsidRDefault="00BE266D" w:rsidP="00AB32D3">
            <w:r w:rsidRPr="00A44381">
              <w:t>41</w:t>
            </w:r>
          </w:p>
        </w:tc>
        <w:tc>
          <w:tcPr>
            <w:tcW w:w="0" w:type="auto"/>
            <w:vAlign w:val="center"/>
            <w:hideMark/>
          </w:tcPr>
          <w:p w:rsidR="00BE266D" w:rsidRPr="00A44381" w:rsidRDefault="00BE266D" w:rsidP="00AB32D3">
            <w:r w:rsidRPr="00A44381">
              <w:t>compar*.tw.</w:t>
            </w:r>
          </w:p>
        </w:tc>
        <w:tc>
          <w:tcPr>
            <w:tcW w:w="0" w:type="auto"/>
            <w:vAlign w:val="center"/>
            <w:hideMark/>
          </w:tcPr>
          <w:p w:rsidR="00BE266D" w:rsidRPr="00A44381" w:rsidRDefault="00BE266D" w:rsidP="00AB32D3">
            <w:r w:rsidRPr="00A44381">
              <w:t>7178513</w:t>
            </w:r>
          </w:p>
        </w:tc>
      </w:tr>
      <w:tr w:rsidR="00BE266D" w:rsidRPr="00A44381" w:rsidTr="00AB32D3">
        <w:trPr>
          <w:tblCellSpacing w:w="15" w:type="dxa"/>
        </w:trPr>
        <w:tc>
          <w:tcPr>
            <w:tcW w:w="0" w:type="auto"/>
            <w:vAlign w:val="center"/>
            <w:hideMark/>
          </w:tcPr>
          <w:p w:rsidR="00BE266D" w:rsidRPr="00A44381" w:rsidRDefault="00BE266D" w:rsidP="00AB32D3">
            <w:r w:rsidRPr="00A44381">
              <w:t>42</w:t>
            </w:r>
          </w:p>
        </w:tc>
        <w:tc>
          <w:tcPr>
            <w:tcW w:w="0" w:type="auto"/>
            <w:vAlign w:val="center"/>
            <w:hideMark/>
          </w:tcPr>
          <w:p w:rsidR="00BE266D" w:rsidRPr="00A44381" w:rsidRDefault="00BE266D" w:rsidP="00AB32D3">
            <w:r w:rsidRPr="00A44381">
              <w:t>or/22-41</w:t>
            </w:r>
          </w:p>
        </w:tc>
        <w:tc>
          <w:tcPr>
            <w:tcW w:w="0" w:type="auto"/>
            <w:vAlign w:val="center"/>
            <w:hideMark/>
          </w:tcPr>
          <w:p w:rsidR="00BE266D" w:rsidRPr="00A44381" w:rsidRDefault="00BE266D" w:rsidP="00AB32D3">
            <w:r w:rsidRPr="00A44381">
              <w:t>14037466</w:t>
            </w:r>
          </w:p>
        </w:tc>
      </w:tr>
      <w:tr w:rsidR="00BE266D" w:rsidRPr="00A44381" w:rsidTr="00AB32D3">
        <w:trPr>
          <w:tblCellSpacing w:w="15" w:type="dxa"/>
        </w:trPr>
        <w:tc>
          <w:tcPr>
            <w:tcW w:w="0" w:type="auto"/>
            <w:vAlign w:val="center"/>
            <w:hideMark/>
          </w:tcPr>
          <w:p w:rsidR="00BE266D" w:rsidRPr="00A44381" w:rsidRDefault="00BE266D" w:rsidP="00AB32D3">
            <w:r w:rsidRPr="00A44381">
              <w:t>43</w:t>
            </w:r>
          </w:p>
        </w:tc>
        <w:tc>
          <w:tcPr>
            <w:tcW w:w="0" w:type="auto"/>
            <w:vAlign w:val="center"/>
            <w:hideMark/>
          </w:tcPr>
          <w:p w:rsidR="00BE266D" w:rsidRPr="00A44381" w:rsidRDefault="00BE266D" w:rsidP="00AB32D3">
            <w:r w:rsidRPr="00A44381">
              <w:t>21 and 42</w:t>
            </w:r>
          </w:p>
        </w:tc>
        <w:tc>
          <w:tcPr>
            <w:tcW w:w="0" w:type="auto"/>
            <w:vAlign w:val="center"/>
            <w:hideMark/>
          </w:tcPr>
          <w:p w:rsidR="00BE266D" w:rsidRPr="00A44381" w:rsidRDefault="00BE266D" w:rsidP="00AB32D3">
            <w:r w:rsidRPr="00A44381">
              <w:t>918</w:t>
            </w:r>
          </w:p>
        </w:tc>
      </w:tr>
      <w:tr w:rsidR="00BE266D" w:rsidRPr="00A44381" w:rsidTr="00AB32D3">
        <w:trPr>
          <w:tblCellSpacing w:w="15" w:type="dxa"/>
        </w:trPr>
        <w:tc>
          <w:tcPr>
            <w:tcW w:w="0" w:type="auto"/>
            <w:vAlign w:val="center"/>
            <w:hideMark/>
          </w:tcPr>
          <w:p w:rsidR="00BE266D" w:rsidRPr="00A44381" w:rsidRDefault="00BE266D" w:rsidP="00AB32D3">
            <w:r w:rsidRPr="00A44381">
              <w:t>44</w:t>
            </w:r>
          </w:p>
        </w:tc>
        <w:tc>
          <w:tcPr>
            <w:tcW w:w="0" w:type="auto"/>
            <w:vAlign w:val="center"/>
            <w:hideMark/>
          </w:tcPr>
          <w:p w:rsidR="00BE266D" w:rsidRPr="00A44381" w:rsidRDefault="00BE266D" w:rsidP="00AB32D3">
            <w:r w:rsidRPr="00A44381">
              <w:t>from 21 keep 933-1612</w:t>
            </w:r>
          </w:p>
        </w:tc>
        <w:tc>
          <w:tcPr>
            <w:tcW w:w="0" w:type="auto"/>
            <w:vAlign w:val="center"/>
            <w:hideMark/>
          </w:tcPr>
          <w:p w:rsidR="00BE266D" w:rsidRPr="00A44381" w:rsidRDefault="00BE266D" w:rsidP="00AB32D3">
            <w:r w:rsidRPr="00A44381">
              <w:t>680</w:t>
            </w:r>
          </w:p>
        </w:tc>
      </w:tr>
      <w:tr w:rsidR="00BE266D" w:rsidRPr="00A44381" w:rsidTr="00AB32D3">
        <w:trPr>
          <w:tblCellSpacing w:w="15" w:type="dxa"/>
        </w:trPr>
        <w:tc>
          <w:tcPr>
            <w:tcW w:w="0" w:type="auto"/>
            <w:vAlign w:val="center"/>
            <w:hideMark/>
          </w:tcPr>
          <w:p w:rsidR="00BE266D" w:rsidRPr="00A44381" w:rsidRDefault="00BE266D" w:rsidP="00AB32D3">
            <w:r w:rsidRPr="00A44381">
              <w:t>45</w:t>
            </w:r>
          </w:p>
        </w:tc>
        <w:tc>
          <w:tcPr>
            <w:tcW w:w="0" w:type="auto"/>
            <w:vAlign w:val="center"/>
            <w:hideMark/>
          </w:tcPr>
          <w:p w:rsidR="00BE266D" w:rsidRPr="00A44381" w:rsidRDefault="00BE266D" w:rsidP="00AB32D3">
            <w:r w:rsidRPr="00A44381">
              <w:t>limit 44 to (clinical trial, all or clinical trial, phase i or clinical trial, phase ii or clinical trial, phase iii or clinical trial, phase iv or clinical trial or comparative study or controlled clinical trial or evaluation studies or meta analysis or multicenter study or randomized controlled trial or systematic reviews or validation studies) [Limit not valid in Embase,CCTR,CDSR; records were retained]</w:t>
            </w:r>
          </w:p>
        </w:tc>
        <w:tc>
          <w:tcPr>
            <w:tcW w:w="0" w:type="auto"/>
            <w:vAlign w:val="center"/>
            <w:hideMark/>
          </w:tcPr>
          <w:p w:rsidR="00BE266D" w:rsidRPr="00A44381" w:rsidRDefault="00BE266D" w:rsidP="00AB32D3">
            <w:r w:rsidRPr="00A44381">
              <w:t>154</w:t>
            </w:r>
          </w:p>
        </w:tc>
      </w:tr>
      <w:tr w:rsidR="00BE266D" w:rsidRPr="00A44381" w:rsidTr="00AB32D3">
        <w:trPr>
          <w:tblCellSpacing w:w="15" w:type="dxa"/>
        </w:trPr>
        <w:tc>
          <w:tcPr>
            <w:tcW w:w="0" w:type="auto"/>
            <w:vAlign w:val="center"/>
            <w:hideMark/>
          </w:tcPr>
          <w:p w:rsidR="00BE266D" w:rsidRPr="00A44381" w:rsidRDefault="00BE266D" w:rsidP="00AB32D3">
            <w:r w:rsidRPr="00A44381">
              <w:t>46</w:t>
            </w:r>
          </w:p>
        </w:tc>
        <w:tc>
          <w:tcPr>
            <w:tcW w:w="0" w:type="auto"/>
            <w:vAlign w:val="center"/>
            <w:hideMark/>
          </w:tcPr>
          <w:p w:rsidR="00BE266D" w:rsidRPr="00A44381" w:rsidRDefault="00BE266D" w:rsidP="00AB32D3">
            <w:r w:rsidRPr="00A44381">
              <w:t>43 or 45</w:t>
            </w:r>
          </w:p>
        </w:tc>
        <w:tc>
          <w:tcPr>
            <w:tcW w:w="0" w:type="auto"/>
            <w:vAlign w:val="center"/>
            <w:hideMark/>
          </w:tcPr>
          <w:p w:rsidR="00BE266D" w:rsidRPr="00A44381" w:rsidRDefault="00BE266D" w:rsidP="00AB32D3">
            <w:r w:rsidRPr="00A44381">
              <w:t>924</w:t>
            </w:r>
          </w:p>
        </w:tc>
      </w:tr>
      <w:tr w:rsidR="00BE266D" w:rsidRPr="00A44381" w:rsidTr="00AB32D3">
        <w:trPr>
          <w:tblCellSpacing w:w="15" w:type="dxa"/>
        </w:trPr>
        <w:tc>
          <w:tcPr>
            <w:tcW w:w="0" w:type="auto"/>
            <w:vAlign w:val="center"/>
            <w:hideMark/>
          </w:tcPr>
          <w:p w:rsidR="00BE266D" w:rsidRPr="00A44381" w:rsidRDefault="00BE266D" w:rsidP="00AB32D3">
            <w:r w:rsidRPr="00A44381">
              <w:lastRenderedPageBreak/>
              <w:t>47</w:t>
            </w:r>
          </w:p>
        </w:tc>
        <w:tc>
          <w:tcPr>
            <w:tcW w:w="0" w:type="auto"/>
            <w:vAlign w:val="center"/>
            <w:hideMark/>
          </w:tcPr>
          <w:p w:rsidR="00BE266D" w:rsidRPr="00A44381" w:rsidRDefault="00BE266D" w:rsidP="00AB32D3">
            <w:r w:rsidRPr="00A44381">
              <w:t>limit 46 to (book or book series or editorial or erratum or letter or addresses or autobiography or bibliography or biography or comment or dictionary or directory or interactive tutorial or interview or lectures or legislation or news or newspaper article or patient education handout or periodical index or portraits or published erratum or video-audio media or webcasts) [Limit not valid in Embase,Ovid MEDLINE(R),Ovid MEDLINE(R) In-Process,CCTR,CDSR; records were retained]</w:t>
            </w:r>
          </w:p>
        </w:tc>
        <w:tc>
          <w:tcPr>
            <w:tcW w:w="0" w:type="auto"/>
            <w:vAlign w:val="center"/>
            <w:hideMark/>
          </w:tcPr>
          <w:p w:rsidR="00BE266D" w:rsidRPr="00A44381" w:rsidRDefault="00BE266D" w:rsidP="00AB32D3">
            <w:r w:rsidRPr="00A44381">
              <w:t>31</w:t>
            </w:r>
          </w:p>
        </w:tc>
      </w:tr>
      <w:tr w:rsidR="00BE266D" w:rsidRPr="00A44381" w:rsidTr="00AB32D3">
        <w:trPr>
          <w:tblCellSpacing w:w="15" w:type="dxa"/>
        </w:trPr>
        <w:tc>
          <w:tcPr>
            <w:tcW w:w="0" w:type="auto"/>
            <w:vAlign w:val="center"/>
            <w:hideMark/>
          </w:tcPr>
          <w:p w:rsidR="00BE266D" w:rsidRPr="00A44381" w:rsidRDefault="00BE266D" w:rsidP="00AB32D3">
            <w:r w:rsidRPr="00A44381">
              <w:t>48</w:t>
            </w:r>
          </w:p>
        </w:tc>
        <w:tc>
          <w:tcPr>
            <w:tcW w:w="0" w:type="auto"/>
            <w:vAlign w:val="center"/>
            <w:hideMark/>
          </w:tcPr>
          <w:p w:rsidR="00BE266D" w:rsidRPr="00A44381" w:rsidRDefault="00BE266D" w:rsidP="00AB32D3">
            <w:r w:rsidRPr="00A44381">
              <w:t>46 not 47</w:t>
            </w:r>
          </w:p>
        </w:tc>
        <w:tc>
          <w:tcPr>
            <w:tcW w:w="0" w:type="auto"/>
            <w:vAlign w:val="center"/>
            <w:hideMark/>
          </w:tcPr>
          <w:p w:rsidR="00BE266D" w:rsidRPr="00A44381" w:rsidRDefault="00BE266D" w:rsidP="00AB32D3">
            <w:r w:rsidRPr="00A44381">
              <w:t>893</w:t>
            </w:r>
          </w:p>
        </w:tc>
      </w:tr>
      <w:tr w:rsidR="00BE266D" w:rsidRPr="00A44381" w:rsidTr="00AB32D3">
        <w:trPr>
          <w:tblCellSpacing w:w="15" w:type="dxa"/>
        </w:trPr>
        <w:tc>
          <w:tcPr>
            <w:tcW w:w="0" w:type="auto"/>
            <w:vAlign w:val="center"/>
            <w:hideMark/>
          </w:tcPr>
          <w:p w:rsidR="00BE266D" w:rsidRPr="00A44381" w:rsidRDefault="00BE266D" w:rsidP="00AB32D3">
            <w:r w:rsidRPr="00A44381">
              <w:t>49</w:t>
            </w:r>
          </w:p>
        </w:tc>
        <w:tc>
          <w:tcPr>
            <w:tcW w:w="0" w:type="auto"/>
            <w:vAlign w:val="center"/>
            <w:hideMark/>
          </w:tcPr>
          <w:p w:rsidR="00BE266D" w:rsidRPr="00A44381" w:rsidRDefault="00BE266D" w:rsidP="00AB32D3">
            <w:r w:rsidRPr="00A44381">
              <w:t>from 21 keep 1613-1663</w:t>
            </w:r>
          </w:p>
        </w:tc>
        <w:tc>
          <w:tcPr>
            <w:tcW w:w="0" w:type="auto"/>
            <w:vAlign w:val="center"/>
            <w:hideMark/>
          </w:tcPr>
          <w:p w:rsidR="00BE266D" w:rsidRPr="00A44381" w:rsidRDefault="00BE266D" w:rsidP="00AB32D3">
            <w:r w:rsidRPr="00A44381">
              <w:t>51</w:t>
            </w:r>
          </w:p>
        </w:tc>
      </w:tr>
      <w:tr w:rsidR="00BE266D" w:rsidRPr="00A44381" w:rsidTr="00AB32D3">
        <w:trPr>
          <w:tblCellSpacing w:w="15" w:type="dxa"/>
        </w:trPr>
        <w:tc>
          <w:tcPr>
            <w:tcW w:w="0" w:type="auto"/>
            <w:vAlign w:val="center"/>
            <w:hideMark/>
          </w:tcPr>
          <w:p w:rsidR="00BE266D" w:rsidRPr="00A44381" w:rsidRDefault="00BE266D" w:rsidP="00AB32D3">
            <w:r w:rsidRPr="00A44381">
              <w:t>50</w:t>
            </w:r>
          </w:p>
        </w:tc>
        <w:tc>
          <w:tcPr>
            <w:tcW w:w="0" w:type="auto"/>
            <w:vAlign w:val="center"/>
            <w:hideMark/>
          </w:tcPr>
          <w:p w:rsidR="00BE266D" w:rsidRPr="00A44381" w:rsidRDefault="00BE266D" w:rsidP="00AB32D3">
            <w:r w:rsidRPr="00A44381">
              <w:t>48 or 49</w:t>
            </w:r>
          </w:p>
        </w:tc>
        <w:tc>
          <w:tcPr>
            <w:tcW w:w="0" w:type="auto"/>
            <w:vAlign w:val="center"/>
            <w:hideMark/>
          </w:tcPr>
          <w:p w:rsidR="00BE266D" w:rsidRPr="00A44381" w:rsidRDefault="00BE266D" w:rsidP="00AB32D3">
            <w:r w:rsidRPr="00A44381">
              <w:t>923</w:t>
            </w:r>
          </w:p>
        </w:tc>
      </w:tr>
      <w:tr w:rsidR="00BE266D" w:rsidRPr="00A44381" w:rsidTr="00AB32D3">
        <w:trPr>
          <w:tblCellSpacing w:w="15" w:type="dxa"/>
        </w:trPr>
        <w:tc>
          <w:tcPr>
            <w:tcW w:w="0" w:type="auto"/>
            <w:vAlign w:val="center"/>
            <w:hideMark/>
          </w:tcPr>
          <w:p w:rsidR="00BE266D" w:rsidRPr="00A44381" w:rsidRDefault="00BE266D" w:rsidP="00AB32D3">
            <w:r w:rsidRPr="00A44381">
              <w:t>51</w:t>
            </w:r>
          </w:p>
        </w:tc>
        <w:tc>
          <w:tcPr>
            <w:tcW w:w="0" w:type="auto"/>
            <w:vAlign w:val="center"/>
            <w:hideMark/>
          </w:tcPr>
          <w:p w:rsidR="00BE266D" w:rsidRPr="00A44381" w:rsidRDefault="00BE266D" w:rsidP="00AB32D3">
            <w:r w:rsidRPr="00A44381">
              <w:t>remove duplicates from 50</w:t>
            </w:r>
          </w:p>
        </w:tc>
        <w:tc>
          <w:tcPr>
            <w:tcW w:w="0" w:type="auto"/>
            <w:vAlign w:val="center"/>
            <w:hideMark/>
          </w:tcPr>
          <w:p w:rsidR="00BE266D" w:rsidRPr="00A44381" w:rsidRDefault="00BE266D" w:rsidP="00AB32D3">
            <w:r w:rsidRPr="00A44381">
              <w:t>668</w:t>
            </w:r>
          </w:p>
        </w:tc>
      </w:tr>
    </w:tbl>
    <w:p w:rsidR="00BE266D" w:rsidRPr="00A44381" w:rsidRDefault="00BE266D" w:rsidP="00BE266D"/>
    <w:p w:rsidR="00BE266D" w:rsidRPr="00A44381" w:rsidRDefault="00BE266D" w:rsidP="00BE266D"/>
    <w:p w:rsidR="00BE266D" w:rsidRPr="00A44381" w:rsidRDefault="00BE266D" w:rsidP="00BE266D">
      <w:r w:rsidRPr="00A44381">
        <w:br w:type="page"/>
      </w:r>
    </w:p>
    <w:p w:rsidR="00BE266D" w:rsidRPr="00A44381" w:rsidRDefault="00BE266D" w:rsidP="00BE266D">
      <w:pPr>
        <w:jc w:val="center"/>
      </w:pPr>
      <w:r w:rsidRPr="00A44381">
        <w:rPr>
          <w:u w:val="single"/>
        </w:rPr>
        <w:lastRenderedPageBreak/>
        <w:t>Scopus</w:t>
      </w:r>
    </w:p>
    <w:p w:rsidR="00BE266D" w:rsidRPr="00A44381" w:rsidRDefault="00BE266D" w:rsidP="00BE266D">
      <w:pPr>
        <w:pStyle w:val="ListParagraph"/>
        <w:numPr>
          <w:ilvl w:val="0"/>
          <w:numId w:val="1"/>
        </w:numPr>
        <w:rPr>
          <w:rFonts w:ascii="Times New Roman" w:hAnsi="Times New Roman"/>
          <w:sz w:val="20"/>
          <w:szCs w:val="20"/>
        </w:rPr>
      </w:pPr>
      <w:r w:rsidRPr="00A44381">
        <w:rPr>
          <w:rFonts w:ascii="Times New Roman" w:hAnsi="Times New Roman"/>
          <w:sz w:val="20"/>
          <w:szCs w:val="20"/>
        </w:rPr>
        <w:t>TITLE-ABS-KEY((bedside W/5 swallow*) or ("bed side" W/5 swallow*) or (bedside W/5 screening*) or ("bed side" W/5 screening*) or questionnaire* or observation* or desaturat* or manometr* or esophagomanometr* or tonometr* or "Iowa oral performance instrument")</w:t>
      </w:r>
    </w:p>
    <w:p w:rsidR="00BE266D" w:rsidRPr="00A44381" w:rsidRDefault="00BE266D" w:rsidP="00BE266D">
      <w:pPr>
        <w:pStyle w:val="ListParagraph"/>
        <w:numPr>
          <w:ilvl w:val="0"/>
          <w:numId w:val="1"/>
        </w:numPr>
        <w:rPr>
          <w:rFonts w:ascii="Times New Roman" w:hAnsi="Times New Roman"/>
          <w:sz w:val="20"/>
          <w:szCs w:val="20"/>
        </w:rPr>
      </w:pPr>
      <w:r w:rsidRPr="00A44381">
        <w:rPr>
          <w:rFonts w:ascii="Times New Roman" w:hAnsi="Times New Roman"/>
          <w:sz w:val="20"/>
          <w:szCs w:val="20"/>
        </w:rPr>
        <w:t>TITLE-ABS-KEY(pneumonia* or pneumonitis or pneumonolipoidosis or aspiration or "mendelson syndrome" or "mendelsons syndrome" or "pulmonary inflammation*" or "lung inflammation*" or pneumonitides or "inflamatory lung disease*" or lobitis or peripneumonia* or pleuropneumonia* or pleuropneumonitis or pneumonic or "pulmonal inflammation*" or "pulmonic inflammation*" or dysphagia or "deglutition disorder*" or "paterson kelly syndrome" or "plummer syndrome" or "plummer vinson" or "swallowing disorder*" or "oculopharyngeal muscular dystrophy" or odynophagia or "Wallenberg syndrome")</w:t>
      </w:r>
    </w:p>
    <w:p w:rsidR="00BE266D" w:rsidRPr="00A44381" w:rsidRDefault="00BE266D" w:rsidP="00BE266D">
      <w:pPr>
        <w:pStyle w:val="ListParagraph"/>
        <w:numPr>
          <w:ilvl w:val="0"/>
          <w:numId w:val="1"/>
        </w:numPr>
        <w:rPr>
          <w:rFonts w:ascii="Times New Roman" w:hAnsi="Times New Roman"/>
          <w:sz w:val="20"/>
          <w:szCs w:val="20"/>
        </w:rPr>
      </w:pPr>
      <w:r w:rsidRPr="00A44381">
        <w:rPr>
          <w:rFonts w:ascii="Times New Roman" w:hAnsi="Times New Roman"/>
          <w:sz w:val="20"/>
          <w:szCs w:val="20"/>
        </w:rPr>
        <w:t>TITLE-ABS-KEY(fluoroscop* or videofluoroscop* or "fluorescence radiation" or "fluorescence scan*" or "fluorescent scan*" or fluorophotograph* or photofluoroscop* or radiofluoroscop* or "roentgen fluoroscop*" or roentgenfluoroscop* or bronchoscop* or "bronchial endoscop*" or laryngotracheobronchoscop* or tracheobronchoscop*)</w:t>
      </w:r>
    </w:p>
    <w:p w:rsidR="00BE266D" w:rsidRPr="00A44381" w:rsidRDefault="00BE266D" w:rsidP="00BE266D">
      <w:pPr>
        <w:pStyle w:val="ListParagraph"/>
        <w:numPr>
          <w:ilvl w:val="0"/>
          <w:numId w:val="1"/>
        </w:numPr>
        <w:rPr>
          <w:rFonts w:ascii="Times New Roman" w:hAnsi="Times New Roman"/>
          <w:sz w:val="20"/>
          <w:szCs w:val="20"/>
        </w:rPr>
      </w:pPr>
      <w:r w:rsidRPr="00A44381">
        <w:rPr>
          <w:rFonts w:ascii="Times New Roman" w:hAnsi="Times New Roman"/>
          <w:sz w:val="20"/>
          <w:szCs w:val="20"/>
        </w:rPr>
        <w:t>TITLE-ABS-KEY((meta W/1 analys*) OR (systematic* W/2 review*) OR (control* W/2 stud*) OR (control* W/2 trial*) OR (randomized W/2 stud*) OR (randomized W/2 trial*) or "comparative stud*" OR "comparative survey*" OR "comparative analys*" OR "cohort stud*" OR "cohort survey*" OR "cohort analys*" OR "longitudinal stud*" OR "longitudinal survey*" OR "longitudinal analys*" OR "retrospective stud*" OR "retrospective survey*" OR "retrospective analys*" or "prospective stud*" OR "prospective survey*" OR "prospective analys*" or "concurrent stud*" OR "concurrent survey*" OR "concurrent analys*" or "clinical stud*" OR "clinical trial*" or "cross-sectional stud*" or "cross-sectional analys*" or "cross-over stud*" or "cross-over analys*" or "cross-over procedure" or "crossover stud*" or "crossover analys*" or "crossover procedure" or "multivariate analys*" or compar*)</w:t>
      </w:r>
    </w:p>
    <w:p w:rsidR="00BE266D" w:rsidRPr="00A44381" w:rsidRDefault="00BE266D" w:rsidP="00BE266D">
      <w:pPr>
        <w:pStyle w:val="ListParagraph"/>
        <w:numPr>
          <w:ilvl w:val="0"/>
          <w:numId w:val="1"/>
        </w:numPr>
        <w:rPr>
          <w:rFonts w:ascii="Times New Roman" w:hAnsi="Times New Roman"/>
          <w:sz w:val="20"/>
          <w:szCs w:val="20"/>
        </w:rPr>
      </w:pPr>
      <w:r w:rsidRPr="00A44381">
        <w:rPr>
          <w:rFonts w:ascii="Times New Roman" w:hAnsi="Times New Roman"/>
          <w:sz w:val="20"/>
          <w:szCs w:val="20"/>
        </w:rPr>
        <w:t>1 and 2 and 3 and 4</w:t>
      </w:r>
    </w:p>
    <w:p w:rsidR="00BE266D" w:rsidRPr="00A44381" w:rsidRDefault="00BE266D" w:rsidP="00BE266D">
      <w:pPr>
        <w:pStyle w:val="ListParagraph"/>
        <w:numPr>
          <w:ilvl w:val="0"/>
          <w:numId w:val="1"/>
        </w:numPr>
        <w:rPr>
          <w:rFonts w:ascii="Times New Roman" w:hAnsi="Times New Roman"/>
          <w:sz w:val="20"/>
          <w:szCs w:val="20"/>
        </w:rPr>
      </w:pPr>
      <w:r w:rsidRPr="00A44381">
        <w:rPr>
          <w:rFonts w:ascii="Times New Roman" w:hAnsi="Times New Roman"/>
          <w:sz w:val="20"/>
          <w:szCs w:val="20"/>
        </w:rPr>
        <w:t>PMID(0*) OR PMID(1*) OR PMID(2*) OR PMID(3*) OR PMID(4*) OR PMID(5*) OR PMID(6*) OR PMID(7*) OR PMID(8*) OR PMID(9*)</w:t>
      </w:r>
    </w:p>
    <w:p w:rsidR="00BE266D" w:rsidRPr="00A44381" w:rsidRDefault="00BE266D" w:rsidP="00BE266D">
      <w:pPr>
        <w:pStyle w:val="ListParagraph"/>
        <w:numPr>
          <w:ilvl w:val="0"/>
          <w:numId w:val="1"/>
        </w:numPr>
        <w:rPr>
          <w:rFonts w:ascii="Times New Roman" w:hAnsi="Times New Roman"/>
          <w:sz w:val="20"/>
          <w:szCs w:val="20"/>
        </w:rPr>
      </w:pPr>
      <w:r w:rsidRPr="00A44381">
        <w:rPr>
          <w:rFonts w:ascii="Times New Roman" w:hAnsi="Times New Roman"/>
          <w:sz w:val="20"/>
          <w:szCs w:val="20"/>
        </w:rPr>
        <w:t>5 and not 6</w:t>
      </w:r>
    </w:p>
    <w:p w:rsidR="00BE266D" w:rsidRPr="00A44381" w:rsidRDefault="00BE266D" w:rsidP="00BE266D">
      <w:pPr>
        <w:pStyle w:val="ListParagraph"/>
        <w:numPr>
          <w:ilvl w:val="0"/>
          <w:numId w:val="1"/>
        </w:numPr>
        <w:rPr>
          <w:rFonts w:ascii="Times New Roman" w:hAnsi="Times New Roman"/>
          <w:sz w:val="20"/>
          <w:szCs w:val="20"/>
        </w:rPr>
      </w:pPr>
      <w:r w:rsidRPr="00A44381">
        <w:rPr>
          <w:rFonts w:ascii="Times New Roman" w:hAnsi="Times New Roman"/>
          <w:sz w:val="20"/>
          <w:szCs w:val="20"/>
        </w:rPr>
        <w:t>DOCTYPE(le) OR DOCTYPE(ed) OR DOCTYPE(bk) OR DOCTYPE(er) OR DOCTYPE(no) OR DOCTYPE(sh)</w:t>
      </w:r>
    </w:p>
    <w:p w:rsidR="00BE266D" w:rsidRPr="00A44381" w:rsidRDefault="00BE266D" w:rsidP="00BE266D">
      <w:pPr>
        <w:pStyle w:val="ListParagraph"/>
        <w:numPr>
          <w:ilvl w:val="0"/>
          <w:numId w:val="1"/>
        </w:numPr>
        <w:rPr>
          <w:rFonts w:ascii="Times New Roman" w:hAnsi="Times New Roman"/>
          <w:sz w:val="20"/>
          <w:szCs w:val="20"/>
        </w:rPr>
      </w:pPr>
      <w:r w:rsidRPr="00A44381">
        <w:rPr>
          <w:rFonts w:ascii="Times New Roman" w:hAnsi="Times New Roman"/>
          <w:sz w:val="20"/>
          <w:szCs w:val="20"/>
        </w:rPr>
        <w:t>7 and not 8</w:t>
      </w:r>
    </w:p>
    <w:p w:rsidR="00BE266D" w:rsidRPr="00A44381" w:rsidRDefault="00BE266D" w:rsidP="00BE266D"/>
    <w:p w:rsidR="00BE266D" w:rsidRDefault="00BE266D" w:rsidP="00BE266D">
      <w:pPr>
        <w:rPr>
          <w:rFonts w:ascii="Arial" w:hAnsi="Arial"/>
          <w:sz w:val="24"/>
        </w:rPr>
      </w:pPr>
    </w:p>
    <w:p w:rsidR="00BE266D" w:rsidRDefault="00BE266D" w:rsidP="00BE266D">
      <w:pPr>
        <w:rPr>
          <w:rFonts w:ascii="Arial" w:hAnsi="Arial"/>
          <w:sz w:val="24"/>
        </w:rPr>
      </w:pPr>
    </w:p>
    <w:p w:rsidR="00BE266D" w:rsidRDefault="00BE266D" w:rsidP="00BE266D">
      <w:pPr>
        <w:rPr>
          <w:rFonts w:ascii="Arial" w:hAnsi="Arial"/>
          <w:sz w:val="24"/>
        </w:rPr>
        <w:sectPr w:rsidR="00BE266D" w:rsidSect="00B8679D">
          <w:pgSz w:w="15840" w:h="12240" w:orient="landscape"/>
          <w:pgMar w:top="1800" w:right="1440" w:bottom="1800" w:left="1440" w:header="720" w:footer="720" w:gutter="0"/>
          <w:cols w:space="720"/>
          <w:docGrid w:linePitch="272"/>
        </w:sectPr>
      </w:pPr>
    </w:p>
    <w:p w:rsidR="00BE266D" w:rsidRDefault="00BE266D" w:rsidP="00BE266D">
      <w:pPr>
        <w:rPr>
          <w:rFonts w:ascii="Arial" w:hAnsi="Arial"/>
          <w:sz w:val="24"/>
        </w:rPr>
      </w:pPr>
      <w:r>
        <w:rPr>
          <w:rFonts w:ascii="Arial" w:hAnsi="Arial"/>
          <w:sz w:val="24"/>
        </w:rPr>
        <w:lastRenderedPageBreak/>
        <w:t>Appendix 2: Abstracted variables and operational definitions used in abstraction</w:t>
      </w:r>
    </w:p>
    <w:tbl>
      <w:tblPr>
        <w:tblW w:w="8835" w:type="dxa"/>
        <w:tblInd w:w="93" w:type="dxa"/>
        <w:tblLook w:val="04A0" w:firstRow="1" w:lastRow="0" w:firstColumn="1" w:lastColumn="0" w:noHBand="0" w:noVBand="1"/>
      </w:tblPr>
      <w:tblGrid>
        <w:gridCol w:w="4065"/>
        <w:gridCol w:w="4770"/>
      </w:tblGrid>
      <w:tr w:rsidR="00BE266D" w:rsidRPr="002412FA" w:rsidTr="00AB32D3">
        <w:trPr>
          <w:trHeight w:val="315"/>
        </w:trPr>
        <w:tc>
          <w:tcPr>
            <w:tcW w:w="4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b/>
                <w:color w:val="000000"/>
                <w:sz w:val="24"/>
                <w:szCs w:val="24"/>
              </w:rPr>
            </w:pPr>
            <w:r w:rsidRPr="002412FA">
              <w:rPr>
                <w:rFonts w:ascii="Calibri" w:hAnsi="Calibri" w:cs="Calibri"/>
                <w:b/>
                <w:color w:val="000000"/>
                <w:sz w:val="24"/>
                <w:szCs w:val="24"/>
              </w:rPr>
              <w:t>Variable</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b/>
                <w:color w:val="000000"/>
                <w:sz w:val="24"/>
                <w:szCs w:val="24"/>
              </w:rPr>
            </w:pPr>
            <w:r w:rsidRPr="002412FA">
              <w:rPr>
                <w:rFonts w:ascii="Calibri" w:hAnsi="Calibri" w:cs="Calibri"/>
                <w:b/>
                <w:color w:val="000000"/>
                <w:sz w:val="24"/>
                <w:szCs w:val="24"/>
              </w:rPr>
              <w:t>Instruction</w:t>
            </w:r>
          </w:p>
        </w:tc>
      </w:tr>
      <w:tr w:rsidR="00BE266D" w:rsidRPr="002412FA" w:rsidTr="00AB32D3">
        <w:trPr>
          <w:trHeight w:val="31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Study</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i/>
                <w:color w:val="000000"/>
                <w:sz w:val="24"/>
                <w:szCs w:val="24"/>
              </w:rPr>
            </w:pPr>
            <w:r>
              <w:rPr>
                <w:rFonts w:ascii="Calibri" w:hAnsi="Calibri" w:cs="Calibri"/>
                <w:color w:val="000000"/>
                <w:sz w:val="24"/>
                <w:szCs w:val="24"/>
              </w:rPr>
              <w:t xml:space="preserve">Study name, i.e. Author </w:t>
            </w:r>
            <w:r>
              <w:rPr>
                <w:rFonts w:ascii="Calibri" w:hAnsi="Calibri" w:cs="Calibri"/>
                <w:i/>
                <w:color w:val="000000"/>
                <w:sz w:val="24"/>
                <w:szCs w:val="24"/>
              </w:rPr>
              <w:t xml:space="preserve">et al. </w:t>
            </w:r>
          </w:p>
        </w:tc>
      </w:tr>
      <w:tr w:rsidR="00BE266D" w:rsidRPr="002412FA" w:rsidTr="00AB32D3">
        <w:trPr>
          <w:trHeight w:val="63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Abstractor initials</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Person doing data abstraction to allow for later calculation of kappa coefficients</w:t>
            </w:r>
          </w:p>
        </w:tc>
      </w:tr>
      <w:tr w:rsidR="00BE266D" w:rsidRPr="002412FA" w:rsidTr="00AB32D3">
        <w:trPr>
          <w:trHeight w:val="63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Include? Yes/No</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Whether you believe the study meets criteria</w:t>
            </w:r>
          </w:p>
        </w:tc>
      </w:tr>
      <w:tr w:rsidR="00BE266D" w:rsidRPr="002412FA" w:rsidTr="00AB32D3">
        <w:trPr>
          <w:trHeight w:val="31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Year</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Year of publication</w:t>
            </w:r>
          </w:p>
        </w:tc>
      </w:tr>
      <w:tr w:rsidR="00BE266D" w:rsidRPr="002412FA" w:rsidTr="00AB32D3">
        <w:trPr>
          <w:trHeight w:val="422"/>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Corresponding author e-mail address</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Address to contact for further information if needed</w:t>
            </w:r>
          </w:p>
        </w:tc>
      </w:tr>
      <w:tr w:rsidR="00BE266D" w:rsidRPr="002412FA" w:rsidTr="00AB32D3">
        <w:trPr>
          <w:trHeight w:val="737"/>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 xml:space="preserve">Design </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 xml:space="preserve">Classify study as </w:t>
            </w:r>
            <w:r w:rsidRPr="002412FA">
              <w:rPr>
                <w:rFonts w:ascii="Calibri" w:hAnsi="Calibri" w:cs="Calibri"/>
                <w:color w:val="000000"/>
                <w:sz w:val="24"/>
                <w:szCs w:val="24"/>
              </w:rPr>
              <w:t>RCT, observational, prospective cohort, retrospective cohort, case control</w:t>
            </w:r>
          </w:p>
        </w:tc>
      </w:tr>
      <w:tr w:rsidR="00BE266D" w:rsidRPr="002412FA" w:rsidTr="00AB32D3">
        <w:trPr>
          <w:trHeight w:val="377"/>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Age</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Classify patient population as adult, children or mixed. For mixed study, insert the breakdown of adult (age &gt;18) vs non-adult as a percentage</w:t>
            </w:r>
          </w:p>
        </w:tc>
      </w:tr>
      <w:tr w:rsidR="00BE266D" w:rsidRPr="002412FA" w:rsidTr="00AB32D3">
        <w:trPr>
          <w:trHeight w:val="48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 xml:space="preserve">Setting </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 xml:space="preserve">Primary setting from which patients were drawn, i.e. </w:t>
            </w:r>
            <w:r w:rsidRPr="002412FA">
              <w:rPr>
                <w:rFonts w:ascii="Calibri" w:hAnsi="Calibri" w:cs="Calibri"/>
                <w:color w:val="000000"/>
                <w:sz w:val="24"/>
                <w:szCs w:val="24"/>
              </w:rPr>
              <w:t>ICU, floor,</w:t>
            </w:r>
            <w:r>
              <w:rPr>
                <w:rFonts w:ascii="Calibri" w:hAnsi="Calibri" w:cs="Calibri"/>
                <w:color w:val="000000"/>
                <w:sz w:val="24"/>
                <w:szCs w:val="24"/>
              </w:rPr>
              <w:t xml:space="preserve"> outpatient or</w:t>
            </w:r>
            <w:r w:rsidRPr="002412FA">
              <w:rPr>
                <w:rFonts w:ascii="Calibri" w:hAnsi="Calibri" w:cs="Calibri"/>
                <w:color w:val="000000"/>
                <w:sz w:val="24"/>
                <w:szCs w:val="24"/>
              </w:rPr>
              <w:t xml:space="preserve"> mixed</w:t>
            </w:r>
          </w:p>
        </w:tc>
      </w:tr>
      <w:tr w:rsidR="00BE266D" w:rsidRPr="002412FA" w:rsidTr="00AB32D3">
        <w:trPr>
          <w:trHeight w:val="126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Reason for dysphagia</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Diagnosis leading to dysphagia in included patients in study, i.e. stroke. If more than one diagnosis included, abstract percentage of each, i.e. “Stroke (52%), Parkinsons (28%), unknown (30%)</w:t>
            </w:r>
          </w:p>
        </w:tc>
      </w:tr>
      <w:tr w:rsidR="00BE266D" w:rsidRPr="002412FA" w:rsidTr="00AB32D3">
        <w:trPr>
          <w:trHeight w:val="63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 xml:space="preserve">Gender </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 xml:space="preserve">Report as </w:t>
            </w:r>
            <w:r w:rsidRPr="002412FA">
              <w:rPr>
                <w:rFonts w:ascii="Calibri" w:hAnsi="Calibri" w:cs="Calibri"/>
                <w:color w:val="000000"/>
                <w:sz w:val="24"/>
                <w:szCs w:val="24"/>
              </w:rPr>
              <w:t>% male</w:t>
            </w:r>
          </w:p>
        </w:tc>
      </w:tr>
      <w:tr w:rsidR="00BE266D" w:rsidRPr="002412FA" w:rsidTr="00AB32D3">
        <w:trPr>
          <w:trHeight w:val="63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Inclusion Criteria</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Specific inclusion criteria other than the setting, reason for dysphagia and age limits specified above</w:t>
            </w:r>
          </w:p>
        </w:tc>
      </w:tr>
      <w:tr w:rsidR="00BE266D" w:rsidRPr="002412FA" w:rsidTr="00AB32D3">
        <w:trPr>
          <w:trHeight w:val="63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Exclusion criteria</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Specific exclusion criteria beyond inclusion criteria</w:t>
            </w:r>
          </w:p>
        </w:tc>
      </w:tr>
      <w:tr w:rsidR="00BE266D" w:rsidRPr="002412FA" w:rsidTr="00AB32D3">
        <w:trPr>
          <w:trHeight w:val="31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Index test</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Test used to evaluate swallowing, i.e. tongue pressure, bedside swallow, specific questionnaire name</w:t>
            </w:r>
          </w:p>
        </w:tc>
      </w:tr>
      <w:tr w:rsidR="00BE266D" w:rsidRPr="002412FA" w:rsidTr="00AB32D3">
        <w:trPr>
          <w:trHeight w:val="126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Reference test</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 xml:space="preserve">Gold standard used, i.e. </w:t>
            </w:r>
            <w:r w:rsidRPr="002412FA">
              <w:rPr>
                <w:rFonts w:ascii="Calibri" w:hAnsi="Calibri" w:cs="Calibri"/>
                <w:color w:val="000000"/>
                <w:sz w:val="24"/>
                <w:szCs w:val="24"/>
              </w:rPr>
              <w:t>FEEST, VFSS</w:t>
            </w:r>
          </w:p>
        </w:tc>
      </w:tr>
      <w:tr w:rsidR="00BE266D" w:rsidRPr="002412FA" w:rsidTr="00AB32D3">
        <w:trPr>
          <w:trHeight w:val="189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lastRenderedPageBreak/>
              <w:t xml:space="preserve">Performing provider </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 xml:space="preserve">Provider performing INDEX test, i.e. </w:t>
            </w:r>
            <w:r w:rsidRPr="002412FA">
              <w:rPr>
                <w:rFonts w:ascii="Calibri" w:hAnsi="Calibri" w:cs="Calibri"/>
                <w:color w:val="000000"/>
                <w:sz w:val="24"/>
                <w:szCs w:val="24"/>
              </w:rPr>
              <w:t>nurse, SLP, radiologist, mixed</w:t>
            </w:r>
          </w:p>
        </w:tc>
      </w:tr>
      <w:tr w:rsidR="00BE266D" w:rsidRPr="002412FA" w:rsidTr="00AB32D3">
        <w:trPr>
          <w:trHeight w:val="252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 xml:space="preserve">N for dysphagia detection </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Sum of the four values below (for calculation purposes)</w:t>
            </w:r>
          </w:p>
        </w:tc>
      </w:tr>
      <w:tr w:rsidR="00BE266D" w:rsidRPr="002412FA" w:rsidTr="00AB32D3">
        <w:trPr>
          <w:trHeight w:val="157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Kappa score?</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66D" w:rsidRDefault="00BE266D" w:rsidP="00AB32D3">
            <w:pPr>
              <w:rPr>
                <w:rFonts w:ascii="Calibri" w:hAnsi="Calibri" w:cs="Calibri"/>
                <w:color w:val="000000"/>
                <w:sz w:val="24"/>
                <w:szCs w:val="24"/>
              </w:rPr>
            </w:pPr>
            <w:r>
              <w:rPr>
                <w:rFonts w:ascii="Calibri" w:hAnsi="Calibri" w:cs="Calibri"/>
                <w:color w:val="000000"/>
                <w:sz w:val="24"/>
                <w:szCs w:val="24"/>
              </w:rPr>
              <w:t>If reported, kappa between reference and index test</w:t>
            </w:r>
          </w:p>
        </w:tc>
      </w:tr>
      <w:tr w:rsidR="00BE266D" w:rsidRPr="002412FA" w:rsidTr="00AB32D3">
        <w:trPr>
          <w:trHeight w:val="157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with Dysphagia detected (TP)</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in whom screening test and gold standard are both positive for the presence of dysphagia</w:t>
            </w:r>
          </w:p>
        </w:tc>
      </w:tr>
      <w:tr w:rsidR="00BE266D" w:rsidRPr="002412FA" w:rsidTr="00AB32D3">
        <w:trPr>
          <w:trHeight w:val="157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with dysphagia not detected (FN)</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in whom screening test is negative, but gold standard positive for the presence of dysphagia</w:t>
            </w:r>
          </w:p>
        </w:tc>
      </w:tr>
      <w:tr w:rsidR="00BE266D" w:rsidRPr="002412FA" w:rsidTr="00AB32D3">
        <w:trPr>
          <w:trHeight w:val="157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with no dysphagia/screen positive (FP)</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in whom the screening test was positive and the gold standard was negative for the presence of dysphagia</w:t>
            </w:r>
          </w:p>
        </w:tc>
      </w:tr>
      <w:tr w:rsidR="00BE266D" w:rsidRPr="002412FA" w:rsidTr="00AB32D3">
        <w:trPr>
          <w:trHeight w:val="157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with no dysphagia/screen negative (TN)</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in whom the screening test was negative and the gold standard was negative for the presence of dysphagia</w:t>
            </w:r>
          </w:p>
        </w:tc>
      </w:tr>
      <w:tr w:rsidR="00BE266D" w:rsidRPr="002412FA" w:rsidTr="00AB32D3">
        <w:trPr>
          <w:trHeight w:val="157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lastRenderedPageBreak/>
              <w:t>Included multiple grades of dysphagia? (Y/N)</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Choose yes if study graded severity either numerically or qualitatively (mild, moderate, severe) and fill out following 6 fields</w:t>
            </w:r>
          </w:p>
        </w:tc>
      </w:tr>
      <w:tr w:rsidR="00BE266D" w:rsidRPr="002412FA" w:rsidTr="00AB32D3">
        <w:trPr>
          <w:trHeight w:val="157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Definition of "severe dysphagia"</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 xml:space="preserve">Definition used to classify as severe, whether a numeric cutoff of a scale, or simple grading. </w:t>
            </w:r>
          </w:p>
        </w:tc>
      </w:tr>
      <w:tr w:rsidR="00BE266D" w:rsidRPr="002412FA" w:rsidTr="00AB32D3">
        <w:trPr>
          <w:trHeight w:val="220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Kappa score?</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66D" w:rsidRDefault="00BE266D" w:rsidP="00AB32D3">
            <w:pPr>
              <w:rPr>
                <w:rFonts w:ascii="Calibri" w:hAnsi="Calibri" w:cs="Calibri"/>
                <w:color w:val="000000"/>
                <w:sz w:val="24"/>
                <w:szCs w:val="24"/>
              </w:rPr>
            </w:pPr>
            <w:r>
              <w:rPr>
                <w:rFonts w:ascii="Calibri" w:hAnsi="Calibri" w:cs="Calibri"/>
                <w:color w:val="000000"/>
                <w:sz w:val="24"/>
                <w:szCs w:val="24"/>
              </w:rPr>
              <w:t>If reported, kappa between reference and index test</w:t>
            </w:r>
          </w:p>
        </w:tc>
      </w:tr>
      <w:tr w:rsidR="00BE266D" w:rsidRPr="002412FA" w:rsidTr="00AB32D3">
        <w:trPr>
          <w:trHeight w:val="220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for severe dysphagia analysis (calculated, do not enter N)</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Sum of the four values below (for calculation purposes)</w:t>
            </w:r>
          </w:p>
        </w:tc>
      </w:tr>
      <w:tr w:rsidR="00BE266D" w:rsidRPr="002412FA" w:rsidTr="00AB32D3">
        <w:trPr>
          <w:trHeight w:val="189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with severe dysphagia detected (TP)</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in whom screening test and gold standard are both positive for the presence of severe dysphagia</w:t>
            </w:r>
          </w:p>
        </w:tc>
      </w:tr>
      <w:tr w:rsidR="00BE266D" w:rsidRPr="002412FA" w:rsidTr="00AB32D3">
        <w:trPr>
          <w:trHeight w:val="189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with Severe dysphagia not detected (FN)</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in whom screening test is negative, but gold standard positive for the presence of severe dysphagia</w:t>
            </w:r>
          </w:p>
        </w:tc>
      </w:tr>
      <w:tr w:rsidR="00BE266D" w:rsidRPr="002412FA" w:rsidTr="00AB32D3">
        <w:trPr>
          <w:trHeight w:val="189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lastRenderedPageBreak/>
              <w:t>n without severe dysphagia/screen positive (FP)</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in whom the screening test was positive and the gold standard was negative for the presence of severe dysphagia</w:t>
            </w:r>
          </w:p>
        </w:tc>
      </w:tr>
      <w:tr w:rsidR="00BE266D" w:rsidRPr="002412FA" w:rsidTr="00AB32D3">
        <w:trPr>
          <w:trHeight w:val="189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without severe dysphagia/screen negative (TN)</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in whom the screening test was negative and the gold standard was negative for the presence of severe dysphagia</w:t>
            </w:r>
          </w:p>
        </w:tc>
      </w:tr>
      <w:tr w:rsidR="00BE266D" w:rsidRPr="002412FA" w:rsidTr="00AB32D3">
        <w:trPr>
          <w:trHeight w:val="220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Aspiration pneumonia reported as outcome?</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If study included subsequent development of aspiration pneumonia, select yes and fill out following six fields</w:t>
            </w:r>
          </w:p>
        </w:tc>
      </w:tr>
      <w:tr w:rsidR="00BE266D" w:rsidRPr="002412FA" w:rsidTr="00AB32D3">
        <w:trPr>
          <w:trHeight w:val="157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Definition of aspiration pneumonia</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What definition was used for aspiration pneumonia, and what time interval existed to follow up</w:t>
            </w:r>
          </w:p>
        </w:tc>
      </w:tr>
      <w:tr w:rsidR="00BE266D" w:rsidRPr="002412FA" w:rsidTr="00AB32D3">
        <w:trPr>
          <w:trHeight w:val="189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Kappa score?</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66D" w:rsidRDefault="00BE266D" w:rsidP="00AB32D3">
            <w:pPr>
              <w:rPr>
                <w:rFonts w:ascii="Calibri" w:hAnsi="Calibri" w:cs="Calibri"/>
                <w:color w:val="000000"/>
                <w:sz w:val="24"/>
                <w:szCs w:val="24"/>
              </w:rPr>
            </w:pPr>
            <w:r>
              <w:rPr>
                <w:rFonts w:ascii="Calibri" w:hAnsi="Calibri" w:cs="Calibri"/>
                <w:color w:val="000000"/>
                <w:sz w:val="24"/>
                <w:szCs w:val="24"/>
              </w:rPr>
              <w:t>If reported, kappa between reference and index test</w:t>
            </w:r>
          </w:p>
        </w:tc>
      </w:tr>
      <w:tr w:rsidR="00BE266D" w:rsidRPr="002412FA" w:rsidTr="00AB32D3">
        <w:trPr>
          <w:trHeight w:val="1890"/>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 xml:space="preserve">N for pneumonia analysis </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Sum of the following four values</w:t>
            </w:r>
          </w:p>
        </w:tc>
      </w:tr>
      <w:tr w:rsidR="00BE266D" w:rsidRPr="002412FA" w:rsidTr="00AB32D3">
        <w:trPr>
          <w:trHeight w:val="220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lastRenderedPageBreak/>
              <w:t>n pneumonia positive/screen positive (TP)</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of subjects who screened positive for dysphagia and subsequently developed aspiration pneumonia</w:t>
            </w:r>
          </w:p>
        </w:tc>
      </w:tr>
      <w:tr w:rsidR="00BE266D" w:rsidRPr="002412FA" w:rsidTr="00AB32D3">
        <w:trPr>
          <w:trHeight w:val="220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pneumonia positive/screen negative (FN)</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of patients who screened negative and subsequently developed aspiration pneumonia</w:t>
            </w:r>
          </w:p>
        </w:tc>
      </w:tr>
      <w:tr w:rsidR="00BE266D" w:rsidRPr="002412FA" w:rsidTr="00AB32D3">
        <w:trPr>
          <w:trHeight w:val="220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pneumonia negative/screen positive (FP)</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of patients who screened positive for dysphagia and did not develop aspiration pneumonia</w:t>
            </w:r>
          </w:p>
        </w:tc>
      </w:tr>
      <w:tr w:rsidR="00BE266D" w:rsidRPr="002412FA" w:rsidTr="00AB32D3">
        <w:trPr>
          <w:trHeight w:val="220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66D" w:rsidRPr="002412FA" w:rsidRDefault="00BE266D" w:rsidP="00AB32D3">
            <w:pPr>
              <w:rPr>
                <w:rFonts w:ascii="Calibri" w:hAnsi="Calibri" w:cs="Calibri"/>
                <w:color w:val="000000"/>
                <w:sz w:val="24"/>
                <w:szCs w:val="24"/>
              </w:rPr>
            </w:pPr>
            <w:r w:rsidRPr="002412FA">
              <w:rPr>
                <w:rFonts w:ascii="Calibri" w:hAnsi="Calibri" w:cs="Calibri"/>
                <w:color w:val="000000"/>
                <w:sz w:val="24"/>
                <w:szCs w:val="24"/>
              </w:rPr>
              <w:t>n pneumonia negative/screen negative (TN)</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Number of patients who screened negative and did not develop aspiration pneumonia</w:t>
            </w:r>
          </w:p>
        </w:tc>
      </w:tr>
      <w:tr w:rsidR="00BE266D" w:rsidRPr="002412FA" w:rsidTr="00AB32D3">
        <w:trPr>
          <w:trHeight w:val="2205"/>
        </w:trPr>
        <w:tc>
          <w:tcPr>
            <w:tcW w:w="4065" w:type="dxa"/>
            <w:tcBorders>
              <w:top w:val="single" w:sz="4" w:space="0" w:color="auto"/>
              <w:left w:val="single" w:sz="4" w:space="0" w:color="auto"/>
              <w:bottom w:val="single" w:sz="4" w:space="0" w:color="auto"/>
              <w:right w:val="single" w:sz="4" w:space="0" w:color="auto"/>
            </w:tcBorders>
            <w:shd w:val="clear" w:color="auto" w:fill="auto"/>
            <w:vAlign w:val="bottom"/>
          </w:tcPr>
          <w:p w:rsidR="00BE266D" w:rsidRPr="002412FA" w:rsidRDefault="00BE266D" w:rsidP="00AB32D3">
            <w:pPr>
              <w:rPr>
                <w:rFonts w:ascii="Calibri" w:hAnsi="Calibri" w:cs="Calibri"/>
                <w:color w:val="000000"/>
                <w:sz w:val="24"/>
                <w:szCs w:val="24"/>
              </w:rPr>
            </w:pPr>
            <w:r>
              <w:rPr>
                <w:rFonts w:ascii="Calibri" w:hAnsi="Calibri" w:cs="Calibri"/>
                <w:color w:val="000000"/>
                <w:sz w:val="24"/>
                <w:szCs w:val="24"/>
              </w:rPr>
              <w:t>Comments</w:t>
            </w: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66D" w:rsidRDefault="00BE266D" w:rsidP="00AB32D3">
            <w:pPr>
              <w:rPr>
                <w:rFonts w:ascii="Calibri" w:hAnsi="Calibri" w:cs="Calibri"/>
                <w:color w:val="000000"/>
                <w:sz w:val="24"/>
                <w:szCs w:val="24"/>
              </w:rPr>
            </w:pPr>
            <w:r>
              <w:rPr>
                <w:rFonts w:ascii="Calibri" w:hAnsi="Calibri" w:cs="Calibri"/>
                <w:color w:val="000000"/>
                <w:sz w:val="24"/>
                <w:szCs w:val="24"/>
              </w:rPr>
              <w:t>Any other information from study, such as unusual conclusions</w:t>
            </w:r>
          </w:p>
        </w:tc>
      </w:tr>
    </w:tbl>
    <w:p w:rsidR="00BE266D" w:rsidRDefault="00BE266D" w:rsidP="00BE266D">
      <w:pPr>
        <w:rPr>
          <w:rFonts w:ascii="Arial" w:hAnsi="Arial"/>
          <w:sz w:val="24"/>
        </w:rPr>
      </w:pPr>
    </w:p>
    <w:p w:rsidR="00BE266D" w:rsidRDefault="00BE266D" w:rsidP="00BE266D">
      <w:pPr>
        <w:rPr>
          <w:b/>
          <w:bCs/>
          <w:sz w:val="18"/>
          <w:szCs w:val="18"/>
        </w:rPr>
      </w:pPr>
      <w:r>
        <w:br w:type="page"/>
      </w:r>
    </w:p>
    <w:p w:rsidR="00BE266D" w:rsidRDefault="00BE266D" w:rsidP="00BE266D">
      <w:pPr>
        <w:pStyle w:val="Caption"/>
        <w:rPr>
          <w:color w:val="auto"/>
        </w:rPr>
      </w:pPr>
      <w:r>
        <w:rPr>
          <w:color w:val="auto"/>
        </w:rPr>
        <w:lastRenderedPageBreak/>
        <w:t>Appendix 3: Expanded legend to Figure 4</w:t>
      </w:r>
    </w:p>
    <w:tbl>
      <w:tblPr>
        <w:tblW w:w="9390" w:type="dxa"/>
        <w:tblInd w:w="93" w:type="dxa"/>
        <w:tblLook w:val="04A0" w:firstRow="1" w:lastRow="0" w:firstColumn="1" w:lastColumn="0" w:noHBand="0" w:noVBand="1"/>
      </w:tblPr>
      <w:tblGrid>
        <w:gridCol w:w="1106"/>
        <w:gridCol w:w="2353"/>
        <w:gridCol w:w="1570"/>
        <w:gridCol w:w="4361"/>
      </w:tblGrid>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studyid</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class</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manuver</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Apraxia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Oral apraxia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Apraxia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Oral apraxia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Attends</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Attends</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Attends</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Attends</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Smith Hammond et al., 2009</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volume acceleration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Voilitional cough quality (wet vs. dry)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Smith Hammond et al., 2009</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expiratory phase rise time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Pitts et al., 2010</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Accoustic analysis- Post Swallow Apnea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Voilitional cough quality (wet vs. dry)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Horner et al., 1992</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Voluntary cough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Steel et al., 2011 (SLP)</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Baseline voluntary cough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Steel et al., 2011 (RN)</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Baseline voluntary cough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Smith Hammond et al., 2009</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expiratory phase peak flow</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1998</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Abnormal volitional cough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after swallow</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Strength</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Voilitional cough strength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Strength</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Voilitional cough strength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Smith et al., 2000</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Desaturation</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Desaturation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Collins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Desaturation</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Desaturation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Chong et al., 2003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Desaturation</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Desaturation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Wang et al., 2005</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Desaturation</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Desaturation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Dysarthria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Dysarthria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Dysarthria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Dysarthria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lastRenderedPageBreak/>
              <w:t>25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Dysarthria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Dysarthria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1998</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Dysarthria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Dysarthria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Mari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Dysphagia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Complains of dysphagia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Dysphonia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Dysphonia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29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1998</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Dysphonia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Change with Swallow</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Horner et al., 1992</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Dysphonia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1998</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Dysphonia</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Dysphonia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Nishiwaki et al., 2005</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 reflex</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 (pharyngeal)</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Horner et al., 1992</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 reflex</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Logemann et al., 1999</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Asymmetric/poor pharyngeal wall contraction on gag</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 (palatal)</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Addington et al., 1999</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Reflex Cough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1998</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Abnormal gag</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39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Gag</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Pharyngeal gag</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Intelligibility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Intelligibility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Intelligibility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Intelligibility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Jaw ROM</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Jaw lateral range of motion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Jaw ROM</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Jaw lateral range of motion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ROM</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ROM (Puckering)</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ROM</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ROM (Retract)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ROM</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ROM</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Nishiwaki et al., 2005</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Strength</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closure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49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Strength</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strength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Strength</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Lip strength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Warms et al., 2000</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Wet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Spontaneous cough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Belafsky et al, 2003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Modified Evans Blue Dye Test (MEBDT)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Steele et al, 2013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Dual axis accelerometry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 xml:space="preserve">McCullough et al., </w:t>
            </w:r>
            <w:r w:rsidRPr="006D1137">
              <w:rPr>
                <w:rFonts w:ascii="Calibri" w:hAnsi="Calibri" w:cs="Calibri"/>
                <w:color w:val="000000"/>
                <w:sz w:val="24"/>
                <w:szCs w:val="24"/>
              </w:rPr>
              <w:lastRenderedPageBreak/>
              <w:t>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lastRenderedPageBreak/>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Strength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lastRenderedPageBreak/>
              <w:t>56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Kidd et al., 1993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Abnormal Pharyngeal sensation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Shaw et al., 1994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Bronchial auscultation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Ryu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Acoustic Analysis- Shimmer Percentage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59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Mari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with swallow</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Logemann et al., 1999</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Multiple swallows per bolus</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Secretions</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Logemann et al., 1999</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on trial swallows</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Kidd et al., 1993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Facial Weakness</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Logemann et al., 1999</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Laryngeal elevation on trial swallows</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Ryu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Acoustic Analysis- Relative Average Perturbation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Delayed Swallow</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Secretions</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Tohara et al., 2003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Food Swallow</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69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Strength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Kagaya et al., 2010</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SSPT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Nishiwaki et al., 2005</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Saliva swallowing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Ryu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Acoustic Analysis- Noise to Harmonic Ratio</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Nishiwaki et al., 2005</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Motor speech function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Ryu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Acoustic Analysis- Voice Turbulence Index</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1998</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Other</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 with swallow</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Palate ROM</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Soft palate ROM</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Palate ROM</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Soft palate ROM</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Nishiwaki et al., 2005</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Palate strength</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Palatal elevation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79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Palate strength</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Soft palate strength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Palate strength</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Soft palate symmetry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movement</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ROM</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Steel et al., 2011 (SLP)</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movement</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Baseling tongue lateralization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Steel et al., 2011 (RN)</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movement</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Baseling tongue lateralization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lastRenderedPageBreak/>
              <w:t>84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Kidd et al., 1993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movement</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Abnormal tongue movement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movement</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ROM</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Nishiwaki et al., 2005</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movement</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Tongue movement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Wet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Harsh voice (AH)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89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Strained Voice (AH)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Wet voice (AH)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Breathy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Logemann et al., 1999</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Wet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Resonant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Breathy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Steel et al., 2011 (SLP)</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Vaseline voice quality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Dysphonia (AH)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Wet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Dysphonia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99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Wet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Resonant voice (AH)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Resonant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Daniels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Wakasugi et al., 2008</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Accoustic analysis</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Steel et al., 2011 (RN)</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Vaseline voice quality</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Breathy voice (AH)</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Dysphonia</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Harsh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Rosenbek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Harsh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109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Voice Quality</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Strained Voice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Wu et al., 2004</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 xml:space="preserve">Water </w:t>
            </w:r>
            <w:r w:rsidRPr="006D1137">
              <w:rPr>
                <w:rFonts w:ascii="Calibri" w:hAnsi="Calibri" w:cs="Calibri"/>
                <w:color w:val="000000"/>
                <w:sz w:val="24"/>
                <w:szCs w:val="24"/>
              </w:rPr>
              <w:lastRenderedPageBreak/>
              <w:t>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lastRenderedPageBreak/>
              <w:t>100 mL Swallow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lastRenderedPageBreak/>
              <w:t>111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Tohara et al., 2003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Lim et al., 2002</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Steel et al., 2011 (SLP)</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Post swallow cough, throat clear or voice change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Trapl et al., 2007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Gugging Swallow Screen</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McCullough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3 oz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116</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Steel et al., 2011 (RN)</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Post swallow cough, throat clear or voice change</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117</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Nishiwaki et al., 2005</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Oral phase in the WST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118</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Suiter and Leder, 2008</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3 oz water swallow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119</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Kidd et al., 1993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120</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Chong et al., 2003</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121</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DePippo et al, 1992</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3 oz swallow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122</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DePippo et al., 1992</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3 oz swallow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123</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Mari et al., 1997</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3 oz test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124</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Nishiwaki et al., 2005</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Cough/Voice change in the WST</w:t>
            </w:r>
          </w:p>
        </w:tc>
      </w:tr>
      <w:tr w:rsidR="00BE266D" w:rsidRPr="006D1137" w:rsidTr="00AB32D3">
        <w:trPr>
          <w:trHeight w:val="315"/>
        </w:trPr>
        <w:tc>
          <w:tcPr>
            <w:tcW w:w="1106" w:type="dxa"/>
            <w:tcBorders>
              <w:top w:val="nil"/>
              <w:left w:val="nil"/>
              <w:bottom w:val="nil"/>
              <w:right w:val="nil"/>
            </w:tcBorders>
            <w:shd w:val="clear" w:color="auto" w:fill="auto"/>
            <w:noWrap/>
            <w:vAlign w:val="bottom"/>
            <w:hideMark/>
          </w:tcPr>
          <w:p w:rsidR="00BE266D" w:rsidRPr="006D1137" w:rsidRDefault="00BE266D" w:rsidP="00AB32D3">
            <w:pPr>
              <w:jc w:val="right"/>
              <w:rPr>
                <w:rFonts w:ascii="Calibri" w:hAnsi="Calibri" w:cs="Calibri"/>
                <w:color w:val="000000"/>
                <w:sz w:val="24"/>
                <w:szCs w:val="24"/>
              </w:rPr>
            </w:pPr>
            <w:r w:rsidRPr="006D1137">
              <w:rPr>
                <w:rFonts w:ascii="Calibri" w:hAnsi="Calibri" w:cs="Calibri"/>
                <w:color w:val="000000"/>
                <w:sz w:val="24"/>
                <w:szCs w:val="24"/>
              </w:rPr>
              <w:t>125</w:t>
            </w:r>
          </w:p>
        </w:tc>
        <w:tc>
          <w:tcPr>
            <w:tcW w:w="2353"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Lim et al., 2001</w:t>
            </w:r>
          </w:p>
        </w:tc>
        <w:tc>
          <w:tcPr>
            <w:tcW w:w="1570"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w:t>
            </w:r>
          </w:p>
        </w:tc>
        <w:tc>
          <w:tcPr>
            <w:tcW w:w="4361" w:type="dxa"/>
            <w:tcBorders>
              <w:top w:val="nil"/>
              <w:left w:val="nil"/>
              <w:bottom w:val="nil"/>
              <w:right w:val="nil"/>
            </w:tcBorders>
            <w:shd w:val="clear" w:color="auto" w:fill="auto"/>
            <w:noWrap/>
            <w:vAlign w:val="bottom"/>
            <w:hideMark/>
          </w:tcPr>
          <w:p w:rsidR="00BE266D" w:rsidRPr="006D1137" w:rsidRDefault="00BE266D" w:rsidP="00AB32D3">
            <w:pPr>
              <w:rPr>
                <w:rFonts w:ascii="Calibri" w:hAnsi="Calibri" w:cs="Calibri"/>
                <w:color w:val="000000"/>
                <w:sz w:val="24"/>
                <w:szCs w:val="24"/>
              </w:rPr>
            </w:pPr>
            <w:r w:rsidRPr="006D1137">
              <w:rPr>
                <w:rFonts w:ascii="Calibri" w:hAnsi="Calibri" w:cs="Calibri"/>
                <w:color w:val="000000"/>
                <w:sz w:val="24"/>
                <w:szCs w:val="24"/>
              </w:rPr>
              <w:t>Water Swallow Test</w:t>
            </w:r>
          </w:p>
        </w:tc>
      </w:tr>
    </w:tbl>
    <w:p w:rsidR="00BE266D" w:rsidRPr="006D1137" w:rsidRDefault="00BE266D" w:rsidP="00BE266D"/>
    <w:p w:rsidR="00C23DC6" w:rsidRDefault="00C23DC6">
      <w:bookmarkStart w:id="0" w:name="_GoBack"/>
      <w:bookmarkEnd w:id="0"/>
    </w:p>
    <w:sectPr w:rsidR="00C23DC6" w:rsidSect="00C4537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924C3"/>
    <w:multiLevelType w:val="hybridMultilevel"/>
    <w:tmpl w:val="F18085E8"/>
    <w:lvl w:ilvl="0" w:tplc="C6EC0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6D"/>
    <w:rsid w:val="00BE266D"/>
    <w:rsid w:val="00C2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6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6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66D"/>
    <w:rPr>
      <w:rFonts w:ascii="Lucida Grande" w:eastAsia="Times New Roman" w:hAnsi="Lucida Grande" w:cs="Lucida Grande"/>
      <w:sz w:val="18"/>
      <w:szCs w:val="18"/>
    </w:rPr>
  </w:style>
  <w:style w:type="paragraph" w:styleId="Caption">
    <w:name w:val="caption"/>
    <w:basedOn w:val="Normal"/>
    <w:next w:val="Normal"/>
    <w:uiPriority w:val="35"/>
    <w:unhideWhenUsed/>
    <w:qFormat/>
    <w:rsid w:val="00BE266D"/>
    <w:pPr>
      <w:spacing w:after="200"/>
    </w:pPr>
    <w:rPr>
      <w:b/>
      <w:bCs/>
      <w:color w:val="4F81BD" w:themeColor="accent1"/>
      <w:sz w:val="18"/>
      <w:szCs w:val="18"/>
    </w:rPr>
  </w:style>
  <w:style w:type="paragraph" w:customStyle="1" w:styleId="EndNoteBibliographyTitle">
    <w:name w:val="EndNote Bibliography Title"/>
    <w:basedOn w:val="Normal"/>
    <w:rsid w:val="00BE266D"/>
    <w:pPr>
      <w:jc w:val="center"/>
    </w:pPr>
    <w:rPr>
      <w:sz w:val="18"/>
    </w:rPr>
  </w:style>
  <w:style w:type="paragraph" w:customStyle="1" w:styleId="EndNoteBibliography">
    <w:name w:val="EndNote Bibliography"/>
    <w:basedOn w:val="Normal"/>
    <w:rsid w:val="00BE266D"/>
    <w:rPr>
      <w:sz w:val="18"/>
    </w:rPr>
  </w:style>
  <w:style w:type="paragraph" w:styleId="ListParagraph">
    <w:name w:val="List Paragraph"/>
    <w:basedOn w:val="Normal"/>
    <w:uiPriority w:val="34"/>
    <w:qFormat/>
    <w:rsid w:val="00BE266D"/>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BE266D"/>
    <w:rPr>
      <w:sz w:val="16"/>
      <w:szCs w:val="16"/>
    </w:rPr>
  </w:style>
  <w:style w:type="paragraph" w:styleId="CommentText">
    <w:name w:val="annotation text"/>
    <w:basedOn w:val="Normal"/>
    <w:link w:val="CommentTextChar"/>
    <w:uiPriority w:val="99"/>
    <w:semiHidden/>
    <w:unhideWhenUsed/>
    <w:rsid w:val="00BE266D"/>
  </w:style>
  <w:style w:type="character" w:customStyle="1" w:styleId="CommentTextChar">
    <w:name w:val="Comment Text Char"/>
    <w:basedOn w:val="DefaultParagraphFont"/>
    <w:link w:val="CommentText"/>
    <w:uiPriority w:val="99"/>
    <w:semiHidden/>
    <w:rsid w:val="00BE26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266D"/>
    <w:rPr>
      <w:b/>
      <w:bCs/>
    </w:rPr>
  </w:style>
  <w:style w:type="character" w:customStyle="1" w:styleId="CommentSubjectChar">
    <w:name w:val="Comment Subject Char"/>
    <w:basedOn w:val="CommentTextChar"/>
    <w:link w:val="CommentSubject"/>
    <w:uiPriority w:val="99"/>
    <w:semiHidden/>
    <w:rsid w:val="00BE266D"/>
    <w:rPr>
      <w:rFonts w:ascii="Times New Roman" w:eastAsia="Times New Roman" w:hAnsi="Times New Roman" w:cs="Times New Roman"/>
      <w:b/>
      <w:bCs/>
      <w:sz w:val="20"/>
      <w:szCs w:val="20"/>
    </w:rPr>
  </w:style>
  <w:style w:type="character" w:styleId="Hyperlink">
    <w:name w:val="Hyperlink"/>
    <w:uiPriority w:val="99"/>
    <w:rsid w:val="00BE266D"/>
    <w:rPr>
      <w:rFonts w:cs="Times New Roman"/>
      <w:color w:val="0000FF"/>
      <w:u w:val="single"/>
    </w:rPr>
  </w:style>
  <w:style w:type="paragraph" w:styleId="Header">
    <w:name w:val="header"/>
    <w:basedOn w:val="Normal"/>
    <w:link w:val="HeaderChar"/>
    <w:uiPriority w:val="99"/>
    <w:unhideWhenUsed/>
    <w:rsid w:val="00BE266D"/>
    <w:pPr>
      <w:tabs>
        <w:tab w:val="center" w:pos="4320"/>
        <w:tab w:val="right" w:pos="8640"/>
      </w:tabs>
    </w:pPr>
  </w:style>
  <w:style w:type="character" w:customStyle="1" w:styleId="HeaderChar">
    <w:name w:val="Header Char"/>
    <w:basedOn w:val="DefaultParagraphFont"/>
    <w:link w:val="Header"/>
    <w:uiPriority w:val="99"/>
    <w:rsid w:val="00BE266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266D"/>
    <w:pPr>
      <w:tabs>
        <w:tab w:val="center" w:pos="4320"/>
        <w:tab w:val="right" w:pos="8640"/>
      </w:tabs>
    </w:pPr>
  </w:style>
  <w:style w:type="character" w:customStyle="1" w:styleId="FooterChar">
    <w:name w:val="Footer Char"/>
    <w:basedOn w:val="DefaultParagraphFont"/>
    <w:link w:val="Footer"/>
    <w:uiPriority w:val="99"/>
    <w:rsid w:val="00BE266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6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6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66D"/>
    <w:rPr>
      <w:rFonts w:ascii="Lucida Grande" w:eastAsia="Times New Roman" w:hAnsi="Lucida Grande" w:cs="Lucida Grande"/>
      <w:sz w:val="18"/>
      <w:szCs w:val="18"/>
    </w:rPr>
  </w:style>
  <w:style w:type="paragraph" w:styleId="Caption">
    <w:name w:val="caption"/>
    <w:basedOn w:val="Normal"/>
    <w:next w:val="Normal"/>
    <w:uiPriority w:val="35"/>
    <w:unhideWhenUsed/>
    <w:qFormat/>
    <w:rsid w:val="00BE266D"/>
    <w:pPr>
      <w:spacing w:after="200"/>
    </w:pPr>
    <w:rPr>
      <w:b/>
      <w:bCs/>
      <w:color w:val="4F81BD" w:themeColor="accent1"/>
      <w:sz w:val="18"/>
      <w:szCs w:val="18"/>
    </w:rPr>
  </w:style>
  <w:style w:type="paragraph" w:customStyle="1" w:styleId="EndNoteBibliographyTitle">
    <w:name w:val="EndNote Bibliography Title"/>
    <w:basedOn w:val="Normal"/>
    <w:rsid w:val="00BE266D"/>
    <w:pPr>
      <w:jc w:val="center"/>
    </w:pPr>
    <w:rPr>
      <w:sz w:val="18"/>
    </w:rPr>
  </w:style>
  <w:style w:type="paragraph" w:customStyle="1" w:styleId="EndNoteBibliography">
    <w:name w:val="EndNote Bibliography"/>
    <w:basedOn w:val="Normal"/>
    <w:rsid w:val="00BE266D"/>
    <w:rPr>
      <w:sz w:val="18"/>
    </w:rPr>
  </w:style>
  <w:style w:type="paragraph" w:styleId="ListParagraph">
    <w:name w:val="List Paragraph"/>
    <w:basedOn w:val="Normal"/>
    <w:uiPriority w:val="34"/>
    <w:qFormat/>
    <w:rsid w:val="00BE266D"/>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BE266D"/>
    <w:rPr>
      <w:sz w:val="16"/>
      <w:szCs w:val="16"/>
    </w:rPr>
  </w:style>
  <w:style w:type="paragraph" w:styleId="CommentText">
    <w:name w:val="annotation text"/>
    <w:basedOn w:val="Normal"/>
    <w:link w:val="CommentTextChar"/>
    <w:uiPriority w:val="99"/>
    <w:semiHidden/>
    <w:unhideWhenUsed/>
    <w:rsid w:val="00BE266D"/>
  </w:style>
  <w:style w:type="character" w:customStyle="1" w:styleId="CommentTextChar">
    <w:name w:val="Comment Text Char"/>
    <w:basedOn w:val="DefaultParagraphFont"/>
    <w:link w:val="CommentText"/>
    <w:uiPriority w:val="99"/>
    <w:semiHidden/>
    <w:rsid w:val="00BE26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266D"/>
    <w:rPr>
      <w:b/>
      <w:bCs/>
    </w:rPr>
  </w:style>
  <w:style w:type="character" w:customStyle="1" w:styleId="CommentSubjectChar">
    <w:name w:val="Comment Subject Char"/>
    <w:basedOn w:val="CommentTextChar"/>
    <w:link w:val="CommentSubject"/>
    <w:uiPriority w:val="99"/>
    <w:semiHidden/>
    <w:rsid w:val="00BE266D"/>
    <w:rPr>
      <w:rFonts w:ascii="Times New Roman" w:eastAsia="Times New Roman" w:hAnsi="Times New Roman" w:cs="Times New Roman"/>
      <w:b/>
      <w:bCs/>
      <w:sz w:val="20"/>
      <w:szCs w:val="20"/>
    </w:rPr>
  </w:style>
  <w:style w:type="character" w:styleId="Hyperlink">
    <w:name w:val="Hyperlink"/>
    <w:uiPriority w:val="99"/>
    <w:rsid w:val="00BE266D"/>
    <w:rPr>
      <w:rFonts w:cs="Times New Roman"/>
      <w:color w:val="0000FF"/>
      <w:u w:val="single"/>
    </w:rPr>
  </w:style>
  <w:style w:type="paragraph" w:styleId="Header">
    <w:name w:val="header"/>
    <w:basedOn w:val="Normal"/>
    <w:link w:val="HeaderChar"/>
    <w:uiPriority w:val="99"/>
    <w:unhideWhenUsed/>
    <w:rsid w:val="00BE266D"/>
    <w:pPr>
      <w:tabs>
        <w:tab w:val="center" w:pos="4320"/>
        <w:tab w:val="right" w:pos="8640"/>
      </w:tabs>
    </w:pPr>
  </w:style>
  <w:style w:type="character" w:customStyle="1" w:styleId="HeaderChar">
    <w:name w:val="Header Char"/>
    <w:basedOn w:val="DefaultParagraphFont"/>
    <w:link w:val="Header"/>
    <w:uiPriority w:val="99"/>
    <w:rsid w:val="00BE266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266D"/>
    <w:pPr>
      <w:tabs>
        <w:tab w:val="center" w:pos="4320"/>
        <w:tab w:val="right" w:pos="8640"/>
      </w:tabs>
    </w:pPr>
  </w:style>
  <w:style w:type="character" w:customStyle="1" w:styleId="FooterChar">
    <w:name w:val="Footer Char"/>
    <w:basedOn w:val="DefaultParagraphFont"/>
    <w:link w:val="Footer"/>
    <w:uiPriority w:val="99"/>
    <w:rsid w:val="00BE26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C O'Horo</dc:creator>
  <cp:lastModifiedBy>Jack C O'Horo</cp:lastModifiedBy>
  <cp:revision>1</cp:revision>
  <dcterms:created xsi:type="dcterms:W3CDTF">2014-09-06T18:39:00Z</dcterms:created>
  <dcterms:modified xsi:type="dcterms:W3CDTF">2014-09-06T18:39:00Z</dcterms:modified>
</cp:coreProperties>
</file>