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F" w:rsidRDefault="009E1F0F" w:rsidP="00A5113A">
      <w:pPr>
        <w:rPr>
          <w:rFonts w:ascii="Verdana" w:eastAsia="Calibri" w:hAnsi="Verdana" w:cs="Times New Roman"/>
          <w:b/>
        </w:rPr>
      </w:pPr>
    </w:p>
    <w:p w:rsidR="00A5113A" w:rsidRPr="001E169E" w:rsidRDefault="00A5113A" w:rsidP="00A5113A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Appendix </w:t>
      </w:r>
      <w:proofErr w:type="gramStart"/>
      <w:r>
        <w:rPr>
          <w:rFonts w:ascii="Verdana" w:eastAsia="Calibri" w:hAnsi="Verdana" w:cs="Times New Roman"/>
          <w:b/>
        </w:rPr>
        <w:t xml:space="preserve">1 </w:t>
      </w:r>
      <w:r>
        <w:rPr>
          <w:rFonts w:ascii="Verdana" w:eastAsia="Calibri" w:hAnsi="Verdana" w:cs="Times New Roman"/>
          <w:b/>
          <w:sz w:val="24"/>
        </w:rPr>
        <w:t>:</w:t>
      </w:r>
      <w:proofErr w:type="gramEnd"/>
      <w:r>
        <w:rPr>
          <w:rFonts w:ascii="Verdana" w:eastAsia="Calibri" w:hAnsi="Verdana" w:cs="Times New Roman"/>
          <w:b/>
          <w:sz w:val="24"/>
        </w:rPr>
        <w:t xml:space="preserve"> </w:t>
      </w:r>
      <w:r w:rsidRPr="001E169E">
        <w:rPr>
          <w:rFonts w:ascii="Verdana" w:eastAsia="Calibri" w:hAnsi="Verdana" w:cs="Times New Roman"/>
          <w:b/>
        </w:rPr>
        <w:t>International Classification of Diseases, Ninth Revision, Clinical Modification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Patients with cirrhosis and complications of portal hypertension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571.0 571.1, 571.2, 571.3, 571.40-571.49, 571.5, 571.6, 571.8, 571.9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456.0, 456.20-456.21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572.0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576.0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572.2, 572.4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571 Chronic liver disease and cirrhosis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571.0 Alcoholic fatty liver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571.1 Acute alcoholic hepatitis, acute alcoholic liver disease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571.2 Alcoholic cirrhosis of liver, florid cirrhosis, Laennec's cirrhosis (alcoholic)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571.3 Alcoholic liver damage, unspecified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571.4 Chronic hepatitis viral hepatitis (acute) (chronic) (070.0-070.9)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571.40 Chronic hepatitis, unspecified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571.41 Chronic persistent hepatitis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571.42 Autoimmune hepatitis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571.49 Other Chronic hepatitis: active aggressive, recurrent hepatitis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571.5 Cirrhosis of liver without mention of alcohol: Cirrhosis of liver: NOS, cryptogenic, </w:t>
      </w:r>
      <w:proofErr w:type="spellStart"/>
      <w:r w:rsidRPr="001E169E">
        <w:rPr>
          <w:rFonts w:ascii="Verdana" w:eastAsia="Calibri" w:hAnsi="Verdana" w:cs="Times New Roman"/>
        </w:rPr>
        <w:t>macronodular</w:t>
      </w:r>
      <w:proofErr w:type="spellEnd"/>
      <w:r w:rsidRPr="001E169E">
        <w:rPr>
          <w:rFonts w:ascii="Verdana" w:eastAsia="Calibri" w:hAnsi="Verdana" w:cs="Times New Roman"/>
        </w:rPr>
        <w:t xml:space="preserve">, </w:t>
      </w:r>
      <w:proofErr w:type="spellStart"/>
      <w:r w:rsidRPr="001E169E">
        <w:rPr>
          <w:rFonts w:ascii="Verdana" w:eastAsia="Calibri" w:hAnsi="Verdana" w:cs="Times New Roman"/>
        </w:rPr>
        <w:t>micronodular</w:t>
      </w:r>
      <w:proofErr w:type="spellEnd"/>
      <w:r w:rsidRPr="001E169E">
        <w:rPr>
          <w:rFonts w:ascii="Verdana" w:eastAsia="Calibri" w:hAnsi="Verdana" w:cs="Times New Roman"/>
        </w:rPr>
        <w:t xml:space="preserve">, </w:t>
      </w:r>
      <w:proofErr w:type="spellStart"/>
      <w:r w:rsidRPr="001E169E">
        <w:rPr>
          <w:rFonts w:ascii="Verdana" w:eastAsia="Calibri" w:hAnsi="Verdana" w:cs="Times New Roman"/>
        </w:rPr>
        <w:t>posthepatitic</w:t>
      </w:r>
      <w:proofErr w:type="spellEnd"/>
      <w:r w:rsidRPr="001E169E">
        <w:rPr>
          <w:rFonts w:ascii="Verdana" w:eastAsia="Calibri" w:hAnsi="Verdana" w:cs="Times New Roman"/>
        </w:rPr>
        <w:t xml:space="preserve">, </w:t>
      </w:r>
      <w:proofErr w:type="spellStart"/>
      <w:r w:rsidRPr="001E169E">
        <w:rPr>
          <w:rFonts w:ascii="Verdana" w:eastAsia="Calibri" w:hAnsi="Verdana" w:cs="Times New Roman"/>
        </w:rPr>
        <w:t>postnecrotic</w:t>
      </w:r>
      <w:proofErr w:type="spellEnd"/>
      <w:r w:rsidRPr="001E169E">
        <w:rPr>
          <w:rFonts w:ascii="Verdana" w:eastAsia="Calibri" w:hAnsi="Verdana" w:cs="Times New Roman"/>
        </w:rPr>
        <w:t>, healed yellow atrophy (liver), Portal cirrhosis Code first, if applicable, viral hepatitis (acute) (chronic)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571.6 Biliary cirrhosis: Chronic destructive, cholangitis, cirrhosis: </w:t>
      </w:r>
      <w:proofErr w:type="spellStart"/>
      <w:r w:rsidRPr="001E169E">
        <w:rPr>
          <w:rFonts w:ascii="Verdana" w:eastAsia="Calibri" w:hAnsi="Verdana" w:cs="Times New Roman"/>
        </w:rPr>
        <w:t>Cholangitic</w:t>
      </w:r>
      <w:proofErr w:type="spellEnd"/>
      <w:r w:rsidRPr="001E169E">
        <w:rPr>
          <w:rFonts w:ascii="Verdana" w:eastAsia="Calibri" w:hAnsi="Verdana" w:cs="Times New Roman"/>
        </w:rPr>
        <w:t xml:space="preserve">, </w:t>
      </w:r>
      <w:proofErr w:type="spellStart"/>
      <w:r w:rsidRPr="001E169E">
        <w:rPr>
          <w:rFonts w:ascii="Verdana" w:eastAsia="Calibri" w:hAnsi="Verdana" w:cs="Times New Roman"/>
        </w:rPr>
        <w:t>cholestatic</w:t>
      </w:r>
      <w:proofErr w:type="spellEnd"/>
      <w:r w:rsidRPr="001E169E">
        <w:rPr>
          <w:rFonts w:ascii="Verdana" w:eastAsia="Calibri" w:hAnsi="Verdana" w:cs="Times New Roman"/>
        </w:rPr>
        <w:t xml:space="preserve">.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571.8 Other chronic nonalcoholic liver disease: Chronic yellow atrophy (liver), fatty liver, without mention of alcohol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571.9 Unspecified chronic liver disease without mention of alcohol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lastRenderedPageBreak/>
        <w:t xml:space="preserve">572 Liver abscess and </w:t>
      </w:r>
      <w:proofErr w:type="spellStart"/>
      <w:r w:rsidRPr="001E169E">
        <w:rPr>
          <w:rFonts w:ascii="Verdana" w:eastAsia="Calibri" w:hAnsi="Verdana" w:cs="Times New Roman"/>
        </w:rPr>
        <w:t>sequelae</w:t>
      </w:r>
      <w:proofErr w:type="spellEnd"/>
      <w:r w:rsidRPr="001E169E">
        <w:rPr>
          <w:rFonts w:ascii="Verdana" w:eastAsia="Calibri" w:hAnsi="Verdana" w:cs="Times New Roman"/>
        </w:rPr>
        <w:t xml:space="preserve"> of chronic liver disease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572.0 Abscess of liver, amebic liver abscess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572.2 Hepatic encephalopathy   Hepatic coma </w:t>
      </w:r>
      <w:proofErr w:type="spellStart"/>
      <w:r w:rsidRPr="001E169E">
        <w:rPr>
          <w:rFonts w:ascii="Verdana" w:eastAsia="Calibri" w:hAnsi="Verdana" w:cs="Times New Roman"/>
        </w:rPr>
        <w:t>Hepatocerebral</w:t>
      </w:r>
      <w:proofErr w:type="spellEnd"/>
      <w:r w:rsidRPr="001E169E">
        <w:rPr>
          <w:rFonts w:ascii="Verdana" w:eastAsia="Calibri" w:hAnsi="Verdana" w:cs="Times New Roman"/>
        </w:rPr>
        <w:t xml:space="preserve"> intoxication Portal-systemic encephalopathy hepatic coma associated with viral hepatitis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572.4 </w:t>
      </w:r>
      <w:proofErr w:type="spellStart"/>
      <w:r w:rsidRPr="001E169E">
        <w:rPr>
          <w:rFonts w:ascii="Verdana" w:eastAsia="Calibri" w:hAnsi="Verdana" w:cs="Times New Roman"/>
        </w:rPr>
        <w:t>Hepatorenal</w:t>
      </w:r>
      <w:proofErr w:type="spellEnd"/>
      <w:r w:rsidRPr="001E169E">
        <w:rPr>
          <w:rFonts w:ascii="Verdana" w:eastAsia="Calibri" w:hAnsi="Verdana" w:cs="Times New Roman"/>
        </w:rPr>
        <w:t xml:space="preserve"> syndrome, that following delivery (674.8)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576.0 </w:t>
      </w:r>
      <w:proofErr w:type="spellStart"/>
      <w:r w:rsidRPr="001E169E">
        <w:rPr>
          <w:rFonts w:ascii="Verdana" w:eastAsia="Calibri" w:hAnsi="Verdana" w:cs="Times New Roman"/>
        </w:rPr>
        <w:t>Postcholecystectomy</w:t>
      </w:r>
      <w:proofErr w:type="spellEnd"/>
      <w:r w:rsidRPr="001E169E">
        <w:rPr>
          <w:rFonts w:ascii="Verdana" w:eastAsia="Calibri" w:hAnsi="Verdana" w:cs="Times New Roman"/>
        </w:rPr>
        <w:t xml:space="preserve"> syndrome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456.0 Esophageal varices with bleeding 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 xml:space="preserve">456.1 Esophageal varices without mention of bleeding  </w:t>
      </w:r>
    </w:p>
    <w:p w:rsidR="00A5113A" w:rsidRPr="001E169E" w:rsidRDefault="00A5113A" w:rsidP="00A5113A">
      <w:pPr>
        <w:rPr>
          <w:rFonts w:ascii="Verdana" w:eastAsia="Calibri" w:hAnsi="Verdana" w:cs="Times New Roman"/>
        </w:rPr>
      </w:pPr>
      <w:r w:rsidRPr="001E169E">
        <w:rPr>
          <w:rFonts w:ascii="Verdana" w:eastAsia="Calibri" w:hAnsi="Verdana" w:cs="Times New Roman"/>
        </w:rPr>
        <w:t>456.2 Esophageal varices in diseases classified elsewhere</w:t>
      </w:r>
    </w:p>
    <w:p w:rsidR="0076637B" w:rsidRDefault="0076637B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Pr="001E169E" w:rsidRDefault="009E1F0F" w:rsidP="009E1F0F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 xml:space="preserve">Appendix </w:t>
      </w:r>
      <w:proofErr w:type="gramStart"/>
      <w:r>
        <w:rPr>
          <w:rFonts w:ascii="Verdana" w:eastAsia="Calibri" w:hAnsi="Verdana" w:cs="Times New Roman"/>
          <w:b/>
        </w:rPr>
        <w:t>2</w:t>
      </w:r>
      <w:r w:rsidRPr="001E169E">
        <w:rPr>
          <w:rFonts w:ascii="Verdana" w:eastAsia="Calibri" w:hAnsi="Verdana" w:cs="Times New Roman"/>
          <w:b/>
        </w:rPr>
        <w:t xml:space="preserve"> :</w:t>
      </w:r>
      <w:proofErr w:type="gramEnd"/>
      <w:r w:rsidRPr="001E169E">
        <w:rPr>
          <w:rFonts w:ascii="Verdana" w:eastAsia="Calibri" w:hAnsi="Verdana" w:cs="Times New Roman"/>
          <w:b/>
        </w:rPr>
        <w:t xml:space="preserve"> Selected Quality Indicators</w:t>
      </w:r>
    </w:p>
    <w:p w:rsidR="009E1F0F" w:rsidRDefault="009E1F0F" w:rsidP="009E1F0F">
      <w:pPr>
        <w:rPr>
          <w:rFonts w:ascii="Verdana" w:eastAsia="Calibri" w:hAnsi="Verdana" w:cs="Times New Roman"/>
        </w:rPr>
      </w:pPr>
    </w:p>
    <w:p w:rsidR="009E1F0F" w:rsidRDefault="009E1F0F" w:rsidP="009E1F0F">
      <w:pPr>
        <w:rPr>
          <w:rFonts w:ascii="Verdana" w:eastAsia="Calibri" w:hAnsi="Verdana" w:cs="Times New Roman"/>
        </w:rPr>
      </w:pPr>
    </w:p>
    <w:p w:rsidR="009E1F0F" w:rsidRDefault="009E1F0F" w:rsidP="009E1F0F">
      <w:pPr>
        <w:rPr>
          <w:rFonts w:ascii="Verdana" w:eastAsia="Calibri" w:hAnsi="Verdana" w:cs="Times New Roman"/>
        </w:rPr>
      </w:pPr>
    </w:p>
    <w:p w:rsidR="009E1F0F" w:rsidRPr="00A017E6" w:rsidRDefault="009E1F0F" w:rsidP="009E1F0F">
      <w:pPr>
        <w:rPr>
          <w:rFonts w:ascii="Verdana" w:eastAsia="Calibri" w:hAnsi="Verdana" w:cs="Times New Roman"/>
          <w:u w:val="single"/>
        </w:rPr>
      </w:pPr>
      <w:proofErr w:type="spellStart"/>
      <w:r>
        <w:rPr>
          <w:rFonts w:ascii="Verdana" w:eastAsia="Calibri" w:hAnsi="Verdana" w:cs="Times New Roman"/>
        </w:rPr>
        <w:t>A</w:t>
      </w:r>
      <w:r w:rsidRPr="00A017E6">
        <w:rPr>
          <w:rFonts w:ascii="Verdana" w:eastAsia="Calibri" w:hAnsi="Verdana" w:cs="Times New Roman"/>
        </w:rPr>
        <w:t>.</w:t>
      </w:r>
      <w:r w:rsidRPr="00A017E6">
        <w:rPr>
          <w:rFonts w:ascii="Verdana" w:eastAsia="Calibri" w:hAnsi="Verdana" w:cs="Times New Roman"/>
          <w:u w:val="single"/>
        </w:rPr>
        <w:t>Ascites</w:t>
      </w:r>
      <w:proofErr w:type="spellEnd"/>
      <w:r w:rsidRPr="00A017E6">
        <w:rPr>
          <w:rFonts w:ascii="Verdana" w:eastAsia="Calibri" w:hAnsi="Verdana" w:cs="Times New Roman"/>
          <w:u w:val="single"/>
        </w:rPr>
        <w:t xml:space="preserve">: 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1</w:t>
      </w:r>
      <w:r w:rsidRPr="00A017E6">
        <w:rPr>
          <w:rFonts w:ascii="Verdana" w:eastAsia="Calibri" w:hAnsi="Verdana" w:cs="Times New Roman"/>
          <w:bCs/>
        </w:rPr>
        <w:t xml:space="preserve">) If patients with ascites are admitted to the hospital for evaluation and management of symptoms related to ascites or </w:t>
      </w:r>
      <w:proofErr w:type="gramStart"/>
      <w:r w:rsidRPr="00A017E6">
        <w:rPr>
          <w:rFonts w:ascii="Verdana" w:eastAsia="Calibri" w:hAnsi="Verdana" w:cs="Times New Roman"/>
          <w:bCs/>
        </w:rPr>
        <w:t>encephalopathy ,</w:t>
      </w:r>
      <w:proofErr w:type="gramEnd"/>
      <w:r w:rsidRPr="00A017E6">
        <w:rPr>
          <w:rFonts w:ascii="Verdana" w:eastAsia="Calibri" w:hAnsi="Verdana" w:cs="Times New Roman"/>
          <w:bCs/>
        </w:rPr>
        <w:t xml:space="preserve"> then they should receive a diagnostic </w:t>
      </w:r>
      <w:proofErr w:type="spellStart"/>
      <w:r w:rsidRPr="00A017E6">
        <w:rPr>
          <w:rFonts w:ascii="Verdana" w:eastAsia="Calibri" w:hAnsi="Verdana" w:cs="Times New Roman"/>
          <w:bCs/>
        </w:rPr>
        <w:t>paracentesis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during the index hospitalization (Grade II-3, class I, level C).</w:t>
      </w:r>
    </w:p>
    <w:p w:rsidR="009E1F0F" w:rsidRPr="00A017E6" w:rsidRDefault="009E1F0F" w:rsidP="009E1F0F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Cs/>
        </w:rPr>
        <w:t>2</w:t>
      </w:r>
      <w:r w:rsidRPr="00A017E6">
        <w:rPr>
          <w:rFonts w:ascii="Verdana" w:eastAsia="Calibri" w:hAnsi="Verdana" w:cs="Times New Roman"/>
          <w:bCs/>
        </w:rPr>
        <w:t xml:space="preserve">) </w:t>
      </w:r>
      <w:r w:rsidRPr="00A017E6">
        <w:rPr>
          <w:rFonts w:ascii="Verdana" w:eastAsia="Calibri" w:hAnsi="Verdana" w:cs="Times New Roman"/>
        </w:rPr>
        <w:t xml:space="preserve">If patients undergo </w:t>
      </w:r>
      <w:proofErr w:type="spellStart"/>
      <w:r w:rsidRPr="00A017E6">
        <w:rPr>
          <w:rFonts w:ascii="Verdana" w:eastAsia="Calibri" w:hAnsi="Verdana" w:cs="Times New Roman"/>
        </w:rPr>
        <w:t>paracentesis</w:t>
      </w:r>
      <w:proofErr w:type="spellEnd"/>
      <w:r w:rsidRPr="00A017E6">
        <w:rPr>
          <w:rFonts w:ascii="Verdana" w:eastAsia="Calibri" w:hAnsi="Verdana" w:cs="Times New Roman"/>
        </w:rPr>
        <w:t xml:space="preserve"> and have no clinically evident fibrinolysis or disseminated intravascular coagulation, then they should not receive fresh frozen plasma or platelet replacement before </w:t>
      </w:r>
      <w:proofErr w:type="spellStart"/>
      <w:r w:rsidRPr="00A017E6">
        <w:rPr>
          <w:rFonts w:ascii="Verdana" w:eastAsia="Calibri" w:hAnsi="Verdana" w:cs="Times New Roman"/>
        </w:rPr>
        <w:t>paracentesis</w:t>
      </w:r>
      <w:proofErr w:type="spellEnd"/>
      <w:r w:rsidRPr="00A017E6">
        <w:rPr>
          <w:rFonts w:ascii="Verdana" w:eastAsia="Calibri" w:hAnsi="Verdana" w:cs="Times New Roman"/>
        </w:rPr>
        <w:t xml:space="preserve"> unless the international normalized ratio &gt; 2.5 and platelet count &lt; 100,000/ mm</w:t>
      </w:r>
      <w:r w:rsidRPr="00A017E6">
        <w:rPr>
          <w:rFonts w:ascii="Verdana" w:eastAsia="Calibri" w:hAnsi="Verdana" w:cs="Times New Roman"/>
          <w:vertAlign w:val="superscript"/>
        </w:rPr>
        <w:t xml:space="preserve">3 </w:t>
      </w:r>
      <w:r w:rsidRPr="00A017E6">
        <w:rPr>
          <w:rFonts w:ascii="Verdana" w:eastAsia="Calibri" w:hAnsi="Verdana" w:cs="Times New Roman"/>
        </w:rPr>
        <w:t>(Grade II-3, class III, level B).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3</w:t>
      </w:r>
      <w:r w:rsidRPr="00A017E6">
        <w:rPr>
          <w:rFonts w:ascii="Verdana" w:eastAsia="Calibri" w:hAnsi="Verdana" w:cs="Times New Roman"/>
          <w:bCs/>
        </w:rPr>
        <w:t xml:space="preserve">) If patients receive an abdominal </w:t>
      </w:r>
      <w:proofErr w:type="spellStart"/>
      <w:r w:rsidRPr="00A017E6">
        <w:rPr>
          <w:rFonts w:ascii="Verdana" w:eastAsia="Calibri" w:hAnsi="Verdana" w:cs="Times New Roman"/>
          <w:bCs/>
        </w:rPr>
        <w:t>paracentesis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at the time of ascites diagnosis, then they should receive the following </w:t>
      </w:r>
      <w:proofErr w:type="spellStart"/>
      <w:r w:rsidRPr="00A017E6">
        <w:rPr>
          <w:rFonts w:ascii="Verdana" w:eastAsia="Calibri" w:hAnsi="Verdana" w:cs="Times New Roman"/>
          <w:bCs/>
        </w:rPr>
        <w:t>ascitic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fluid tests: cell count and differential, total protein, albumin, and culture/sensitivity (Grade II-3, </w:t>
      </w:r>
      <w:proofErr w:type="gramStart"/>
      <w:r w:rsidRPr="00A017E6">
        <w:rPr>
          <w:rFonts w:ascii="Verdana" w:eastAsia="Calibri" w:hAnsi="Verdana" w:cs="Times New Roman"/>
          <w:bCs/>
        </w:rPr>
        <w:t>class</w:t>
      </w:r>
      <w:proofErr w:type="gramEnd"/>
      <w:r w:rsidRPr="00A017E6">
        <w:rPr>
          <w:rFonts w:ascii="Verdana" w:eastAsia="Calibri" w:hAnsi="Verdana" w:cs="Times New Roman"/>
          <w:bCs/>
        </w:rPr>
        <w:t xml:space="preserve"> I, level C).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4</w:t>
      </w:r>
      <w:r w:rsidRPr="00A017E6">
        <w:rPr>
          <w:rFonts w:ascii="Verdana" w:eastAsia="Calibri" w:hAnsi="Verdana" w:cs="Times New Roman"/>
          <w:bCs/>
        </w:rPr>
        <w:t xml:space="preserve">) If patients with known portal hypertension–related ascites receive an abdominal </w:t>
      </w:r>
      <w:proofErr w:type="spellStart"/>
      <w:r w:rsidRPr="00A017E6">
        <w:rPr>
          <w:rFonts w:ascii="Verdana" w:eastAsia="Calibri" w:hAnsi="Verdana" w:cs="Times New Roman"/>
          <w:bCs/>
        </w:rPr>
        <w:t>paracentesis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during hospitalization, then they should have </w:t>
      </w:r>
      <w:proofErr w:type="spellStart"/>
      <w:r w:rsidRPr="00A017E6">
        <w:rPr>
          <w:rFonts w:ascii="Verdana" w:eastAsia="Calibri" w:hAnsi="Verdana" w:cs="Times New Roman"/>
          <w:bCs/>
        </w:rPr>
        <w:t>ascitic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fluid cell count and differential performed (Grade II-3, class I, level C).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</w:rPr>
        <w:t>5</w:t>
      </w:r>
      <w:r w:rsidRPr="00A017E6">
        <w:rPr>
          <w:rFonts w:ascii="Verdana" w:eastAsia="Calibri" w:hAnsi="Verdana" w:cs="Times New Roman"/>
        </w:rPr>
        <w:t xml:space="preserve">) If patients with ascites have serum sodium of 110 </w:t>
      </w:r>
      <w:proofErr w:type="spellStart"/>
      <w:r w:rsidRPr="00A017E6">
        <w:rPr>
          <w:rFonts w:ascii="Verdana" w:eastAsia="Calibri" w:hAnsi="Verdana" w:cs="Times New Roman"/>
        </w:rPr>
        <w:t>mEq</w:t>
      </w:r>
      <w:proofErr w:type="spellEnd"/>
      <w:r w:rsidRPr="00A017E6">
        <w:rPr>
          <w:rFonts w:ascii="Verdana" w:eastAsia="Calibri" w:hAnsi="Verdana" w:cs="Times New Roman"/>
        </w:rPr>
        <w:t xml:space="preserve">/L or less, then they should be managed with discontinuation of diuretics and fluid restriction (Grade III, class </w:t>
      </w:r>
      <w:proofErr w:type="spellStart"/>
      <w:r w:rsidRPr="00A017E6">
        <w:rPr>
          <w:rFonts w:ascii="Verdana" w:eastAsia="Calibri" w:hAnsi="Verdana" w:cs="Times New Roman"/>
        </w:rPr>
        <w:t>IIb</w:t>
      </w:r>
      <w:proofErr w:type="spellEnd"/>
      <w:r w:rsidRPr="00A017E6">
        <w:rPr>
          <w:rFonts w:ascii="Verdana" w:eastAsia="Calibri" w:hAnsi="Verdana" w:cs="Times New Roman"/>
        </w:rPr>
        <w:t>, level B).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6</w:t>
      </w:r>
      <w:r w:rsidRPr="00A017E6">
        <w:rPr>
          <w:rFonts w:ascii="Verdana" w:eastAsia="Calibri" w:hAnsi="Verdana" w:cs="Times New Roman"/>
          <w:bCs/>
        </w:rPr>
        <w:t xml:space="preserve">) If hospitalized patients with ascites have an </w:t>
      </w:r>
      <w:proofErr w:type="spellStart"/>
      <w:r w:rsidRPr="00A017E6">
        <w:rPr>
          <w:rFonts w:ascii="Verdana" w:eastAsia="Calibri" w:hAnsi="Verdana" w:cs="Times New Roman"/>
          <w:bCs/>
        </w:rPr>
        <w:t>ascitic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fluid </w:t>
      </w:r>
      <w:proofErr w:type="spellStart"/>
      <w:r w:rsidRPr="00A017E6">
        <w:rPr>
          <w:rFonts w:ascii="Verdana" w:eastAsia="Calibri" w:hAnsi="Verdana" w:cs="Times New Roman"/>
          <w:bCs/>
        </w:rPr>
        <w:t>polymorphonuclear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count of more than 250 cells/mm3, then they should receive empiric antibiotics within 6 hours of the test results (Grade I, class I, level A).</w:t>
      </w:r>
    </w:p>
    <w:p w:rsidR="009E1F0F" w:rsidRPr="00A017E6" w:rsidRDefault="009E1F0F" w:rsidP="009E1F0F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Cs/>
        </w:rPr>
        <w:t>7</w:t>
      </w:r>
      <w:r w:rsidRPr="00A017E6">
        <w:rPr>
          <w:rFonts w:ascii="Verdana" w:eastAsia="Calibri" w:hAnsi="Verdana" w:cs="Times New Roman"/>
          <w:bCs/>
        </w:rPr>
        <w:t xml:space="preserve">) If patients have </w:t>
      </w:r>
      <w:proofErr w:type="spellStart"/>
      <w:r w:rsidRPr="00A017E6">
        <w:rPr>
          <w:rFonts w:ascii="Verdana" w:eastAsia="Calibri" w:hAnsi="Verdana" w:cs="Times New Roman"/>
          <w:bCs/>
        </w:rPr>
        <w:t>ascitic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fluid total protein less than 1.1 gm/</w:t>
      </w:r>
      <w:proofErr w:type="spellStart"/>
      <w:r w:rsidRPr="00A017E6">
        <w:rPr>
          <w:rFonts w:ascii="Verdana" w:eastAsia="Calibri" w:hAnsi="Verdana" w:cs="Times New Roman"/>
          <w:bCs/>
        </w:rPr>
        <w:t>dL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and serum bilirubin of more than 2.5 mg/</w:t>
      </w:r>
      <w:proofErr w:type="spellStart"/>
      <w:r w:rsidRPr="00A017E6">
        <w:rPr>
          <w:rFonts w:ascii="Verdana" w:eastAsia="Calibri" w:hAnsi="Verdana" w:cs="Times New Roman"/>
          <w:bCs/>
        </w:rPr>
        <w:t>dL</w:t>
      </w:r>
      <w:proofErr w:type="spellEnd"/>
      <w:r w:rsidRPr="00A017E6">
        <w:rPr>
          <w:rFonts w:ascii="Verdana" w:eastAsia="Calibri" w:hAnsi="Verdana" w:cs="Times New Roman"/>
          <w:bCs/>
        </w:rPr>
        <w:t>, then they should receive prophylactic antibiotics (Grade I, class I, level A).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8</w:t>
      </w:r>
      <w:r w:rsidRPr="00A017E6">
        <w:rPr>
          <w:rFonts w:ascii="Verdana" w:eastAsia="Calibri" w:hAnsi="Verdana" w:cs="Times New Roman"/>
          <w:bCs/>
        </w:rPr>
        <w:t xml:space="preserve">) If patients have clinically apparent ascites and normal renal function, then they should be managed with both salt restriction and diuretics (including a combination of spironolactone and loop diuretics) (Grade I, class I, level A). 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</w:p>
    <w:p w:rsidR="009E1F0F" w:rsidRPr="00A017E6" w:rsidRDefault="009E1F0F" w:rsidP="009E1F0F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lastRenderedPageBreak/>
        <w:t>B</w:t>
      </w:r>
      <w:r w:rsidRPr="00A017E6">
        <w:rPr>
          <w:rFonts w:ascii="Verdana" w:eastAsia="Calibri" w:hAnsi="Verdana" w:cs="Times New Roman"/>
          <w:u w:val="single"/>
        </w:rPr>
        <w:t>. Gastrointestinal bleeding: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9</w:t>
      </w:r>
      <w:r w:rsidRPr="00A017E6">
        <w:rPr>
          <w:rFonts w:ascii="Verdana" w:eastAsia="Calibri" w:hAnsi="Verdana" w:cs="Times New Roman"/>
          <w:bCs/>
        </w:rPr>
        <w:t>) If patients with cirrhosis present with upper gastrointestinal (GI) bleeding, then they should receive upper endoscopy within 24 hours of presentation (Grade I, class I, level A).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10</w:t>
      </w:r>
      <w:r w:rsidRPr="00A017E6">
        <w:rPr>
          <w:rFonts w:ascii="Verdana" w:eastAsia="Calibri" w:hAnsi="Verdana" w:cs="Times New Roman"/>
          <w:bCs/>
        </w:rPr>
        <w:t xml:space="preserve">) If patients with cirrhosis are found to have bleeding esophageal varices, then they should receive endoscopic </w:t>
      </w:r>
      <w:proofErr w:type="spellStart"/>
      <w:r w:rsidRPr="00A017E6">
        <w:rPr>
          <w:rFonts w:ascii="Verdana" w:eastAsia="Calibri" w:hAnsi="Verdana" w:cs="Times New Roman"/>
          <w:bCs/>
        </w:rPr>
        <w:t>variceal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ligation (EVL) or </w:t>
      </w:r>
      <w:proofErr w:type="spellStart"/>
      <w:r w:rsidRPr="00A017E6">
        <w:rPr>
          <w:rFonts w:ascii="Verdana" w:eastAsia="Calibri" w:hAnsi="Verdana" w:cs="Times New Roman"/>
          <w:bCs/>
        </w:rPr>
        <w:t>sclerotherapy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at the time of index endoscopy (Grade I, class I, level A).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11</w:t>
      </w:r>
      <w:r w:rsidRPr="00A017E6">
        <w:rPr>
          <w:rFonts w:ascii="Verdana" w:eastAsia="Calibri" w:hAnsi="Verdana" w:cs="Times New Roman"/>
          <w:bCs/>
        </w:rPr>
        <w:t>) If patients are admitted with or develop gastrointestinal (GI) bleeding as an inpatient, then they should receive antibiotics within 24 hours of admission or presentation (Grade I, class I, level A).</w:t>
      </w:r>
    </w:p>
    <w:p w:rsidR="009E1F0F" w:rsidRPr="00A017E6" w:rsidRDefault="009E1F0F" w:rsidP="009E1F0F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Cs/>
        </w:rPr>
        <w:t>12</w:t>
      </w:r>
      <w:r w:rsidRPr="00A017E6">
        <w:rPr>
          <w:rFonts w:ascii="Verdana" w:eastAsia="Calibri" w:hAnsi="Verdana" w:cs="Times New Roman"/>
          <w:bCs/>
        </w:rPr>
        <w:t xml:space="preserve">) </w:t>
      </w:r>
      <w:r w:rsidRPr="00A017E6">
        <w:rPr>
          <w:rFonts w:ascii="Verdana" w:eastAsia="Calibri" w:hAnsi="Verdana" w:cs="Times New Roman"/>
        </w:rPr>
        <w:t xml:space="preserve">If patients with cirrhosis are admitted with or develop suspected </w:t>
      </w:r>
      <w:proofErr w:type="spellStart"/>
      <w:r w:rsidRPr="00A017E6">
        <w:rPr>
          <w:rFonts w:ascii="Verdana" w:eastAsia="Calibri" w:hAnsi="Verdana" w:cs="Times New Roman"/>
        </w:rPr>
        <w:t>variceal</w:t>
      </w:r>
      <w:proofErr w:type="spellEnd"/>
      <w:r w:rsidRPr="00A017E6">
        <w:rPr>
          <w:rFonts w:ascii="Verdana" w:eastAsia="Calibri" w:hAnsi="Verdana" w:cs="Times New Roman"/>
        </w:rPr>
        <w:t xml:space="preserve"> bleeding, then they should receive </w:t>
      </w:r>
      <w:proofErr w:type="spellStart"/>
      <w:r w:rsidRPr="00A017E6">
        <w:rPr>
          <w:rFonts w:ascii="Verdana" w:eastAsia="Calibri" w:hAnsi="Verdana" w:cs="Times New Roman"/>
        </w:rPr>
        <w:t>somatostatin</w:t>
      </w:r>
      <w:proofErr w:type="spellEnd"/>
      <w:r w:rsidRPr="00A017E6">
        <w:rPr>
          <w:rFonts w:ascii="Verdana" w:eastAsia="Calibri" w:hAnsi="Verdana" w:cs="Times New Roman"/>
        </w:rPr>
        <w:t xml:space="preserve"> or analogues (</w:t>
      </w:r>
      <w:proofErr w:type="spellStart"/>
      <w:r w:rsidRPr="00A017E6">
        <w:rPr>
          <w:rFonts w:ascii="Verdana" w:eastAsia="Calibri" w:hAnsi="Verdana" w:cs="Times New Roman"/>
        </w:rPr>
        <w:t>somatostatin</w:t>
      </w:r>
      <w:proofErr w:type="spellEnd"/>
      <w:r w:rsidRPr="00A017E6">
        <w:rPr>
          <w:rFonts w:ascii="Verdana" w:eastAsia="Calibri" w:hAnsi="Verdana" w:cs="Times New Roman"/>
        </w:rPr>
        <w:t xml:space="preserve">, </w:t>
      </w:r>
      <w:proofErr w:type="spellStart"/>
      <w:r w:rsidRPr="00A017E6">
        <w:rPr>
          <w:rFonts w:ascii="Verdana" w:eastAsia="Calibri" w:hAnsi="Verdana" w:cs="Times New Roman"/>
        </w:rPr>
        <w:t>octreotide</w:t>
      </w:r>
      <w:proofErr w:type="spellEnd"/>
      <w:r w:rsidRPr="00A017E6">
        <w:rPr>
          <w:rFonts w:ascii="Verdana" w:eastAsia="Calibri" w:hAnsi="Verdana" w:cs="Times New Roman"/>
        </w:rPr>
        <w:t xml:space="preserve">, </w:t>
      </w:r>
      <w:proofErr w:type="spellStart"/>
      <w:r w:rsidRPr="00A017E6">
        <w:rPr>
          <w:rFonts w:ascii="Verdana" w:eastAsia="Calibri" w:hAnsi="Verdana" w:cs="Times New Roman"/>
        </w:rPr>
        <w:t>terlipressin</w:t>
      </w:r>
      <w:proofErr w:type="spellEnd"/>
      <w:r w:rsidRPr="00A017E6">
        <w:rPr>
          <w:rFonts w:ascii="Verdana" w:eastAsia="Calibri" w:hAnsi="Verdana" w:cs="Times New Roman"/>
        </w:rPr>
        <w:t xml:space="preserve">) within 12 hours of presentation (Grade I, class </w:t>
      </w:r>
      <w:proofErr w:type="spellStart"/>
      <w:r w:rsidRPr="00A017E6">
        <w:rPr>
          <w:rFonts w:ascii="Verdana" w:eastAsia="Calibri" w:hAnsi="Verdana" w:cs="Times New Roman"/>
        </w:rPr>
        <w:t>IIa</w:t>
      </w:r>
      <w:proofErr w:type="spellEnd"/>
      <w:r w:rsidRPr="00A017E6">
        <w:rPr>
          <w:rFonts w:ascii="Verdana" w:eastAsia="Calibri" w:hAnsi="Verdana" w:cs="Times New Roman"/>
        </w:rPr>
        <w:t>, level A)</w:t>
      </w:r>
    </w:p>
    <w:p w:rsidR="009E1F0F" w:rsidRPr="00A017E6" w:rsidRDefault="009E1F0F" w:rsidP="009E1F0F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13</w:t>
      </w:r>
      <w:r w:rsidRPr="00A017E6">
        <w:rPr>
          <w:rFonts w:ascii="Verdana" w:eastAsia="Calibri" w:hAnsi="Verdana" w:cs="Times New Roman"/>
        </w:rPr>
        <w:t xml:space="preserve">) If patients with cirrhosis and </w:t>
      </w:r>
      <w:proofErr w:type="spellStart"/>
      <w:r w:rsidRPr="00A017E6">
        <w:rPr>
          <w:rFonts w:ascii="Verdana" w:eastAsia="Calibri" w:hAnsi="Verdana" w:cs="Times New Roman"/>
        </w:rPr>
        <w:t>variceal</w:t>
      </w:r>
      <w:proofErr w:type="spellEnd"/>
      <w:r w:rsidRPr="00A017E6">
        <w:rPr>
          <w:rFonts w:ascii="Verdana" w:eastAsia="Calibri" w:hAnsi="Verdana" w:cs="Times New Roman"/>
        </w:rPr>
        <w:t xml:space="preserve"> bleeding experience a second episode of bleeding within 72 hours of initial endoscopic hemostasis, then they should receive repeat endoscopy or </w:t>
      </w:r>
      <w:proofErr w:type="spellStart"/>
      <w:r w:rsidRPr="00A017E6">
        <w:rPr>
          <w:rFonts w:ascii="Verdana" w:eastAsia="Calibri" w:hAnsi="Verdana" w:cs="Times New Roman"/>
        </w:rPr>
        <w:t>transjugular</w:t>
      </w:r>
      <w:proofErr w:type="spellEnd"/>
      <w:r w:rsidRPr="00A017E6">
        <w:rPr>
          <w:rFonts w:ascii="Verdana" w:eastAsia="Calibri" w:hAnsi="Verdana" w:cs="Times New Roman"/>
        </w:rPr>
        <w:t xml:space="preserve"> intrahepatic </w:t>
      </w:r>
      <w:proofErr w:type="spellStart"/>
      <w:r w:rsidRPr="00A017E6">
        <w:rPr>
          <w:rFonts w:ascii="Verdana" w:eastAsia="Calibri" w:hAnsi="Verdana" w:cs="Times New Roman"/>
        </w:rPr>
        <w:t>portosystemic</w:t>
      </w:r>
      <w:proofErr w:type="spellEnd"/>
      <w:r w:rsidRPr="00A017E6">
        <w:rPr>
          <w:rFonts w:ascii="Verdana" w:eastAsia="Calibri" w:hAnsi="Verdana" w:cs="Times New Roman"/>
        </w:rPr>
        <w:t xml:space="preserve"> shunt (Grade II-2, class </w:t>
      </w:r>
      <w:proofErr w:type="spellStart"/>
      <w:r w:rsidRPr="00A017E6">
        <w:rPr>
          <w:rFonts w:ascii="Verdana" w:eastAsia="Calibri" w:hAnsi="Verdana" w:cs="Times New Roman"/>
        </w:rPr>
        <w:t>IIa</w:t>
      </w:r>
      <w:proofErr w:type="spellEnd"/>
      <w:r w:rsidRPr="00A017E6">
        <w:rPr>
          <w:rFonts w:ascii="Verdana" w:eastAsia="Calibri" w:hAnsi="Verdana" w:cs="Times New Roman"/>
        </w:rPr>
        <w:t>, level B).</w:t>
      </w:r>
    </w:p>
    <w:p w:rsidR="009E1F0F" w:rsidRPr="00A017E6" w:rsidRDefault="009E1F0F" w:rsidP="009E1F0F">
      <w:pPr>
        <w:rPr>
          <w:rFonts w:ascii="Verdana" w:eastAsia="Calibri" w:hAnsi="Verdana" w:cs="Times New Roman"/>
        </w:rPr>
      </w:pPr>
      <w:r w:rsidRPr="00A017E6">
        <w:rPr>
          <w:rFonts w:ascii="Verdana" w:eastAsia="Calibri" w:hAnsi="Verdana" w:cs="Times New Roman"/>
        </w:rPr>
        <w:t xml:space="preserve"> </w:t>
      </w:r>
    </w:p>
    <w:p w:rsidR="009E1F0F" w:rsidRPr="00A017E6" w:rsidRDefault="009E1F0F" w:rsidP="009E1F0F">
      <w:pPr>
        <w:rPr>
          <w:rFonts w:ascii="Verdana" w:eastAsia="Calibri" w:hAnsi="Verdana" w:cs="Times New Roman"/>
          <w:u w:val="single"/>
        </w:rPr>
      </w:pPr>
      <w:r w:rsidRPr="00A017E6">
        <w:rPr>
          <w:rFonts w:ascii="Verdana" w:eastAsia="Calibri" w:hAnsi="Verdana" w:cs="Times New Roman"/>
        </w:rPr>
        <w:t xml:space="preserve"> </w:t>
      </w:r>
      <w:r w:rsidRPr="00A017E6">
        <w:rPr>
          <w:rFonts w:ascii="Verdana" w:eastAsia="Calibri" w:hAnsi="Verdana" w:cs="Times New Roman"/>
          <w:u w:val="single"/>
        </w:rPr>
        <w:t>3. Evaluation for liver transplantation: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14</w:t>
      </w:r>
      <w:r w:rsidRPr="00A017E6">
        <w:rPr>
          <w:rFonts w:ascii="Verdana" w:eastAsia="Calibri" w:hAnsi="Verdana" w:cs="Times New Roman"/>
          <w:bCs/>
        </w:rPr>
        <w:t xml:space="preserve">) If patients with cirrhosis have a Model for End-Stage Liver Disease (MELD) score of 15 or more or a score of less than 15 and one of the following conditions: new onset ascites, </w:t>
      </w:r>
      <w:proofErr w:type="spellStart"/>
      <w:r w:rsidRPr="00A017E6">
        <w:rPr>
          <w:rFonts w:ascii="Verdana" w:eastAsia="Calibri" w:hAnsi="Verdana" w:cs="Times New Roman"/>
          <w:bCs/>
        </w:rPr>
        <w:t>variceal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bleeding, hepatic encephalopathy, spontaneous bacterial peritonitis, </w:t>
      </w:r>
      <w:proofErr w:type="spellStart"/>
      <w:r w:rsidRPr="00A017E6">
        <w:rPr>
          <w:rFonts w:ascii="Verdana" w:eastAsia="Calibri" w:hAnsi="Verdana" w:cs="Times New Roman"/>
          <w:bCs/>
        </w:rPr>
        <w:t>hepatopulmonary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syndrome, hepatocellular cancer or </w:t>
      </w:r>
      <w:proofErr w:type="spellStart"/>
      <w:r w:rsidRPr="00A017E6">
        <w:rPr>
          <w:rFonts w:ascii="Verdana" w:eastAsia="Calibri" w:hAnsi="Verdana" w:cs="Times New Roman"/>
          <w:bCs/>
        </w:rPr>
        <w:t>hepatorenal</w:t>
      </w:r>
      <w:proofErr w:type="spellEnd"/>
      <w:r w:rsidRPr="00A017E6">
        <w:rPr>
          <w:rFonts w:ascii="Verdana" w:eastAsia="Calibri" w:hAnsi="Verdana" w:cs="Times New Roman"/>
          <w:bCs/>
        </w:rPr>
        <w:t xml:space="preserve"> syndrome), then they should be evaluated for liver transplantation. (Grade III, class I, level C)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</w:p>
    <w:p w:rsidR="009E1F0F" w:rsidRPr="00A017E6" w:rsidRDefault="009E1F0F" w:rsidP="009E1F0F">
      <w:pPr>
        <w:rPr>
          <w:rFonts w:ascii="Verdana" w:eastAsia="Calibri" w:hAnsi="Verdana" w:cs="Times New Roman"/>
          <w:u w:val="single"/>
        </w:rPr>
      </w:pPr>
      <w:r w:rsidRPr="00A017E6">
        <w:rPr>
          <w:rFonts w:ascii="Verdana" w:eastAsia="Calibri" w:hAnsi="Verdana" w:cs="Times New Roman"/>
          <w:u w:val="single"/>
        </w:rPr>
        <w:t>4. Hepatic encephalopathy: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15</w:t>
      </w:r>
      <w:r w:rsidRPr="00A017E6">
        <w:rPr>
          <w:rFonts w:ascii="Verdana" w:eastAsia="Calibri" w:hAnsi="Verdana" w:cs="Times New Roman"/>
          <w:bCs/>
        </w:rPr>
        <w:t>) If patients with cirrhosis have hepatic encephalopathy, then a search for reversible factors should be documented in the chart</w:t>
      </w:r>
      <w:proofErr w:type="gramStart"/>
      <w:r w:rsidRPr="00A017E6">
        <w:rPr>
          <w:rFonts w:ascii="Verdana" w:eastAsia="Calibri" w:hAnsi="Verdana" w:cs="Times New Roman"/>
          <w:bCs/>
        </w:rPr>
        <w:t>.(</w:t>
      </w:r>
      <w:proofErr w:type="gramEnd"/>
      <w:r w:rsidRPr="00A017E6">
        <w:rPr>
          <w:rFonts w:ascii="Verdana" w:eastAsia="Calibri" w:hAnsi="Verdana" w:cs="Times New Roman"/>
          <w:bCs/>
        </w:rPr>
        <w:t>Grade III, class I, level B)</w:t>
      </w:r>
    </w:p>
    <w:p w:rsidR="009E1F0F" w:rsidRPr="00A017E6" w:rsidRDefault="009E1F0F" w:rsidP="009E1F0F">
      <w:pPr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16</w:t>
      </w:r>
      <w:r w:rsidRPr="00A017E6">
        <w:rPr>
          <w:rFonts w:ascii="Verdana" w:eastAsia="Calibri" w:hAnsi="Verdana" w:cs="Times New Roman"/>
          <w:bCs/>
        </w:rPr>
        <w:t xml:space="preserve">) If patients with cirrhosis have persistent hepatic encephalopathy, then they should receive oral disaccharides or </w:t>
      </w:r>
      <w:proofErr w:type="spellStart"/>
      <w:r w:rsidRPr="00A017E6">
        <w:rPr>
          <w:rFonts w:ascii="Verdana" w:eastAsia="Calibri" w:hAnsi="Verdana" w:cs="Times New Roman"/>
          <w:bCs/>
        </w:rPr>
        <w:t>rifaximin</w:t>
      </w:r>
      <w:proofErr w:type="spellEnd"/>
      <w:r w:rsidRPr="00A017E6">
        <w:rPr>
          <w:rFonts w:ascii="Verdana" w:eastAsia="Calibri" w:hAnsi="Verdana" w:cs="Times New Roman"/>
          <w:bCs/>
        </w:rPr>
        <w:t xml:space="preserve">. (Grade I, class </w:t>
      </w:r>
      <w:proofErr w:type="spellStart"/>
      <w:r w:rsidRPr="00A017E6">
        <w:rPr>
          <w:rFonts w:ascii="Verdana" w:eastAsia="Calibri" w:hAnsi="Verdana" w:cs="Times New Roman"/>
          <w:bCs/>
        </w:rPr>
        <w:t>IIa</w:t>
      </w:r>
      <w:proofErr w:type="spellEnd"/>
      <w:r w:rsidRPr="00A017E6">
        <w:rPr>
          <w:rFonts w:ascii="Verdana" w:eastAsia="Calibri" w:hAnsi="Verdana" w:cs="Times New Roman"/>
          <w:bCs/>
        </w:rPr>
        <w:t>, level A)</w:t>
      </w:r>
    </w:p>
    <w:p w:rsidR="009E1F0F" w:rsidRPr="00A017E6" w:rsidRDefault="009E1F0F" w:rsidP="009E1F0F">
      <w:pPr>
        <w:rPr>
          <w:rFonts w:ascii="Verdana" w:eastAsia="Calibri" w:hAnsi="Verdana" w:cs="Times New Roman"/>
        </w:rPr>
      </w:pPr>
    </w:p>
    <w:p w:rsidR="009E1F0F" w:rsidRDefault="009E1F0F">
      <w:bookmarkStart w:id="0" w:name="_GoBack"/>
      <w:bookmarkEnd w:id="0"/>
    </w:p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p w:rsidR="009E1F0F" w:rsidRDefault="009E1F0F"/>
    <w:sectPr w:rsidR="009E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3A"/>
    <w:rsid w:val="0000042F"/>
    <w:rsid w:val="0002259D"/>
    <w:rsid w:val="0002400D"/>
    <w:rsid w:val="00024573"/>
    <w:rsid w:val="000258AE"/>
    <w:rsid w:val="00042821"/>
    <w:rsid w:val="00044396"/>
    <w:rsid w:val="000448CB"/>
    <w:rsid w:val="00045C75"/>
    <w:rsid w:val="00050F5E"/>
    <w:rsid w:val="000554B1"/>
    <w:rsid w:val="00057A1D"/>
    <w:rsid w:val="00061C65"/>
    <w:rsid w:val="00064A3B"/>
    <w:rsid w:val="00067E00"/>
    <w:rsid w:val="00070C1F"/>
    <w:rsid w:val="00073887"/>
    <w:rsid w:val="00080D64"/>
    <w:rsid w:val="00083997"/>
    <w:rsid w:val="00091830"/>
    <w:rsid w:val="000964F5"/>
    <w:rsid w:val="000A1457"/>
    <w:rsid w:val="000A3F22"/>
    <w:rsid w:val="000A4A72"/>
    <w:rsid w:val="000A78EC"/>
    <w:rsid w:val="000B4FAA"/>
    <w:rsid w:val="000C03ED"/>
    <w:rsid w:val="000C2F5D"/>
    <w:rsid w:val="000C4EDB"/>
    <w:rsid w:val="000D1579"/>
    <w:rsid w:val="000D53BF"/>
    <w:rsid w:val="000E1A9B"/>
    <w:rsid w:val="000E7B54"/>
    <w:rsid w:val="000F1DDD"/>
    <w:rsid w:val="000F2DB4"/>
    <w:rsid w:val="00102B12"/>
    <w:rsid w:val="001057AA"/>
    <w:rsid w:val="00107023"/>
    <w:rsid w:val="00124006"/>
    <w:rsid w:val="00126644"/>
    <w:rsid w:val="00127F09"/>
    <w:rsid w:val="001415D5"/>
    <w:rsid w:val="00142B80"/>
    <w:rsid w:val="00144A44"/>
    <w:rsid w:val="00146CC3"/>
    <w:rsid w:val="00150153"/>
    <w:rsid w:val="00150690"/>
    <w:rsid w:val="0015429A"/>
    <w:rsid w:val="00155AD1"/>
    <w:rsid w:val="00163148"/>
    <w:rsid w:val="001670B1"/>
    <w:rsid w:val="00172624"/>
    <w:rsid w:val="00175B63"/>
    <w:rsid w:val="001818E2"/>
    <w:rsid w:val="00187801"/>
    <w:rsid w:val="001A2D95"/>
    <w:rsid w:val="001B397B"/>
    <w:rsid w:val="001C05F7"/>
    <w:rsid w:val="001C0E56"/>
    <w:rsid w:val="001C2E12"/>
    <w:rsid w:val="001C525C"/>
    <w:rsid w:val="001C575D"/>
    <w:rsid w:val="001C6D7E"/>
    <w:rsid w:val="001C7069"/>
    <w:rsid w:val="001D0A9B"/>
    <w:rsid w:val="001D6CE8"/>
    <w:rsid w:val="001D70F4"/>
    <w:rsid w:val="001D79C3"/>
    <w:rsid w:val="001E120A"/>
    <w:rsid w:val="001F30AD"/>
    <w:rsid w:val="00206310"/>
    <w:rsid w:val="002078F9"/>
    <w:rsid w:val="00214778"/>
    <w:rsid w:val="00215D23"/>
    <w:rsid w:val="0021634C"/>
    <w:rsid w:val="00223A47"/>
    <w:rsid w:val="00223FFC"/>
    <w:rsid w:val="002258A2"/>
    <w:rsid w:val="00231E2D"/>
    <w:rsid w:val="00232DE0"/>
    <w:rsid w:val="00234D70"/>
    <w:rsid w:val="002371C6"/>
    <w:rsid w:val="002515F3"/>
    <w:rsid w:val="0025371F"/>
    <w:rsid w:val="00253ECC"/>
    <w:rsid w:val="00255547"/>
    <w:rsid w:val="002620AE"/>
    <w:rsid w:val="00265CCC"/>
    <w:rsid w:val="002667F1"/>
    <w:rsid w:val="00274734"/>
    <w:rsid w:val="002752AE"/>
    <w:rsid w:val="00276670"/>
    <w:rsid w:val="0028135A"/>
    <w:rsid w:val="00282CF5"/>
    <w:rsid w:val="00284142"/>
    <w:rsid w:val="00286B62"/>
    <w:rsid w:val="002903C9"/>
    <w:rsid w:val="00296004"/>
    <w:rsid w:val="002A1FBA"/>
    <w:rsid w:val="002B2242"/>
    <w:rsid w:val="002B3816"/>
    <w:rsid w:val="002B50DF"/>
    <w:rsid w:val="002C5026"/>
    <w:rsid w:val="002D6676"/>
    <w:rsid w:val="002E2A19"/>
    <w:rsid w:val="002E2FE7"/>
    <w:rsid w:val="002F15FF"/>
    <w:rsid w:val="002F314F"/>
    <w:rsid w:val="002F5CE6"/>
    <w:rsid w:val="003051AA"/>
    <w:rsid w:val="003163ED"/>
    <w:rsid w:val="00321EB1"/>
    <w:rsid w:val="00325204"/>
    <w:rsid w:val="003300F1"/>
    <w:rsid w:val="00331126"/>
    <w:rsid w:val="00332711"/>
    <w:rsid w:val="003343E8"/>
    <w:rsid w:val="0034048A"/>
    <w:rsid w:val="00342EEC"/>
    <w:rsid w:val="003434F7"/>
    <w:rsid w:val="00347077"/>
    <w:rsid w:val="00353BC5"/>
    <w:rsid w:val="00355FD9"/>
    <w:rsid w:val="003626E6"/>
    <w:rsid w:val="00366FDC"/>
    <w:rsid w:val="00371689"/>
    <w:rsid w:val="003746FF"/>
    <w:rsid w:val="00385A8E"/>
    <w:rsid w:val="0039216B"/>
    <w:rsid w:val="00394705"/>
    <w:rsid w:val="003967EA"/>
    <w:rsid w:val="003A4520"/>
    <w:rsid w:val="003A79AE"/>
    <w:rsid w:val="003B3886"/>
    <w:rsid w:val="003C35A9"/>
    <w:rsid w:val="003C6D23"/>
    <w:rsid w:val="003E29BF"/>
    <w:rsid w:val="00407F27"/>
    <w:rsid w:val="00410E30"/>
    <w:rsid w:val="00416232"/>
    <w:rsid w:val="004241E4"/>
    <w:rsid w:val="00424DAD"/>
    <w:rsid w:val="00426EA1"/>
    <w:rsid w:val="004361EA"/>
    <w:rsid w:val="00437856"/>
    <w:rsid w:val="00443D61"/>
    <w:rsid w:val="00447D6E"/>
    <w:rsid w:val="004515B9"/>
    <w:rsid w:val="00453073"/>
    <w:rsid w:val="004553F8"/>
    <w:rsid w:val="00456712"/>
    <w:rsid w:val="00457AB6"/>
    <w:rsid w:val="00460AE1"/>
    <w:rsid w:val="00461680"/>
    <w:rsid w:val="00463E4C"/>
    <w:rsid w:val="00466D47"/>
    <w:rsid w:val="004708F3"/>
    <w:rsid w:val="0047283C"/>
    <w:rsid w:val="00477333"/>
    <w:rsid w:val="004774E3"/>
    <w:rsid w:val="00480782"/>
    <w:rsid w:val="0048485A"/>
    <w:rsid w:val="00486318"/>
    <w:rsid w:val="00497EDD"/>
    <w:rsid w:val="004B72E4"/>
    <w:rsid w:val="004C379C"/>
    <w:rsid w:val="004C6EFC"/>
    <w:rsid w:val="004D2C0C"/>
    <w:rsid w:val="004D2F4A"/>
    <w:rsid w:val="004E1E1A"/>
    <w:rsid w:val="004E7D6F"/>
    <w:rsid w:val="004F56EC"/>
    <w:rsid w:val="005008A3"/>
    <w:rsid w:val="0050245A"/>
    <w:rsid w:val="0050307C"/>
    <w:rsid w:val="00504D3C"/>
    <w:rsid w:val="00504D9C"/>
    <w:rsid w:val="00514647"/>
    <w:rsid w:val="005226D9"/>
    <w:rsid w:val="00523FDC"/>
    <w:rsid w:val="00526416"/>
    <w:rsid w:val="005265E2"/>
    <w:rsid w:val="00527F6C"/>
    <w:rsid w:val="00531EB0"/>
    <w:rsid w:val="00532CE1"/>
    <w:rsid w:val="00534CEE"/>
    <w:rsid w:val="0054610E"/>
    <w:rsid w:val="005600F4"/>
    <w:rsid w:val="00560C37"/>
    <w:rsid w:val="00577683"/>
    <w:rsid w:val="00585E76"/>
    <w:rsid w:val="005914D4"/>
    <w:rsid w:val="005940FB"/>
    <w:rsid w:val="005A732F"/>
    <w:rsid w:val="005B35AC"/>
    <w:rsid w:val="005B631D"/>
    <w:rsid w:val="005C0A06"/>
    <w:rsid w:val="005C157C"/>
    <w:rsid w:val="005C2708"/>
    <w:rsid w:val="005C63FD"/>
    <w:rsid w:val="005C6E70"/>
    <w:rsid w:val="005D1F0F"/>
    <w:rsid w:val="005F77C5"/>
    <w:rsid w:val="00610620"/>
    <w:rsid w:val="00620866"/>
    <w:rsid w:val="006222A4"/>
    <w:rsid w:val="0063103B"/>
    <w:rsid w:val="00640D2C"/>
    <w:rsid w:val="0064136E"/>
    <w:rsid w:val="00642C8F"/>
    <w:rsid w:val="00643784"/>
    <w:rsid w:val="00653019"/>
    <w:rsid w:val="0065354F"/>
    <w:rsid w:val="00654A96"/>
    <w:rsid w:val="00655927"/>
    <w:rsid w:val="00656BCF"/>
    <w:rsid w:val="006575D0"/>
    <w:rsid w:val="006655CD"/>
    <w:rsid w:val="00670FB3"/>
    <w:rsid w:val="00684234"/>
    <w:rsid w:val="006B1EF6"/>
    <w:rsid w:val="006B5081"/>
    <w:rsid w:val="006C3948"/>
    <w:rsid w:val="006C6559"/>
    <w:rsid w:val="006D05E9"/>
    <w:rsid w:val="006D2A60"/>
    <w:rsid w:val="006D4050"/>
    <w:rsid w:val="006D57EF"/>
    <w:rsid w:val="006E19E2"/>
    <w:rsid w:val="006E4673"/>
    <w:rsid w:val="006F2AE2"/>
    <w:rsid w:val="006F6359"/>
    <w:rsid w:val="006F70A7"/>
    <w:rsid w:val="006F7964"/>
    <w:rsid w:val="00703DFB"/>
    <w:rsid w:val="00705BBA"/>
    <w:rsid w:val="0071735F"/>
    <w:rsid w:val="00720800"/>
    <w:rsid w:val="007212C5"/>
    <w:rsid w:val="00740986"/>
    <w:rsid w:val="007443A3"/>
    <w:rsid w:val="00752847"/>
    <w:rsid w:val="00756785"/>
    <w:rsid w:val="007630BB"/>
    <w:rsid w:val="00763C12"/>
    <w:rsid w:val="0076637B"/>
    <w:rsid w:val="00766DF6"/>
    <w:rsid w:val="007720E8"/>
    <w:rsid w:val="00776CC0"/>
    <w:rsid w:val="00780923"/>
    <w:rsid w:val="0078404B"/>
    <w:rsid w:val="0078797E"/>
    <w:rsid w:val="0079593F"/>
    <w:rsid w:val="007A3679"/>
    <w:rsid w:val="007A3BE5"/>
    <w:rsid w:val="007A4F6E"/>
    <w:rsid w:val="007A54BF"/>
    <w:rsid w:val="007A6C44"/>
    <w:rsid w:val="007B105B"/>
    <w:rsid w:val="007B2E23"/>
    <w:rsid w:val="007C021F"/>
    <w:rsid w:val="007C08FA"/>
    <w:rsid w:val="007C0EB0"/>
    <w:rsid w:val="007C542C"/>
    <w:rsid w:val="007D391B"/>
    <w:rsid w:val="007D7398"/>
    <w:rsid w:val="007E5053"/>
    <w:rsid w:val="007F15EF"/>
    <w:rsid w:val="007F1AAE"/>
    <w:rsid w:val="007F71F6"/>
    <w:rsid w:val="007F7B19"/>
    <w:rsid w:val="008018BB"/>
    <w:rsid w:val="00813326"/>
    <w:rsid w:val="00813470"/>
    <w:rsid w:val="00814905"/>
    <w:rsid w:val="00816096"/>
    <w:rsid w:val="00833B69"/>
    <w:rsid w:val="0084393F"/>
    <w:rsid w:val="00844359"/>
    <w:rsid w:val="00851DB1"/>
    <w:rsid w:val="00852610"/>
    <w:rsid w:val="0085366A"/>
    <w:rsid w:val="008566F7"/>
    <w:rsid w:val="00856DC1"/>
    <w:rsid w:val="008607D6"/>
    <w:rsid w:val="00863963"/>
    <w:rsid w:val="008658AA"/>
    <w:rsid w:val="00866EE9"/>
    <w:rsid w:val="008765AC"/>
    <w:rsid w:val="0087739F"/>
    <w:rsid w:val="008833D6"/>
    <w:rsid w:val="008910E9"/>
    <w:rsid w:val="0089359E"/>
    <w:rsid w:val="0089617E"/>
    <w:rsid w:val="00897B2B"/>
    <w:rsid w:val="008A0A3D"/>
    <w:rsid w:val="008B0F38"/>
    <w:rsid w:val="008B3877"/>
    <w:rsid w:val="008B427B"/>
    <w:rsid w:val="008C6F14"/>
    <w:rsid w:val="008D000F"/>
    <w:rsid w:val="008D0EEE"/>
    <w:rsid w:val="008D2264"/>
    <w:rsid w:val="008D352E"/>
    <w:rsid w:val="008D355E"/>
    <w:rsid w:val="008D3A8D"/>
    <w:rsid w:val="008D4BFF"/>
    <w:rsid w:val="008E250F"/>
    <w:rsid w:val="008F4510"/>
    <w:rsid w:val="008F55A3"/>
    <w:rsid w:val="009001BE"/>
    <w:rsid w:val="00906471"/>
    <w:rsid w:val="00907F9C"/>
    <w:rsid w:val="009136A3"/>
    <w:rsid w:val="00914884"/>
    <w:rsid w:val="009178A6"/>
    <w:rsid w:val="0092152E"/>
    <w:rsid w:val="00925BBE"/>
    <w:rsid w:val="00931F97"/>
    <w:rsid w:val="00934ED9"/>
    <w:rsid w:val="00936EDF"/>
    <w:rsid w:val="009372FA"/>
    <w:rsid w:val="00941E63"/>
    <w:rsid w:val="00942D10"/>
    <w:rsid w:val="00945C2A"/>
    <w:rsid w:val="00946AF9"/>
    <w:rsid w:val="00950D99"/>
    <w:rsid w:val="0095401D"/>
    <w:rsid w:val="00956A31"/>
    <w:rsid w:val="0096152D"/>
    <w:rsid w:val="0096274C"/>
    <w:rsid w:val="00967B72"/>
    <w:rsid w:val="009734AA"/>
    <w:rsid w:val="009735DA"/>
    <w:rsid w:val="00981495"/>
    <w:rsid w:val="0098384A"/>
    <w:rsid w:val="00983EE0"/>
    <w:rsid w:val="0098452E"/>
    <w:rsid w:val="00993024"/>
    <w:rsid w:val="009936BC"/>
    <w:rsid w:val="009955BE"/>
    <w:rsid w:val="009B3240"/>
    <w:rsid w:val="009B38E9"/>
    <w:rsid w:val="009C0631"/>
    <w:rsid w:val="009C3200"/>
    <w:rsid w:val="009C39AF"/>
    <w:rsid w:val="009C5A96"/>
    <w:rsid w:val="009C71BC"/>
    <w:rsid w:val="009D08D5"/>
    <w:rsid w:val="009D3ABB"/>
    <w:rsid w:val="009D5FCD"/>
    <w:rsid w:val="009D7559"/>
    <w:rsid w:val="009E19AC"/>
    <w:rsid w:val="009E1F0F"/>
    <w:rsid w:val="009E669E"/>
    <w:rsid w:val="009F3A7A"/>
    <w:rsid w:val="00A03204"/>
    <w:rsid w:val="00A123DB"/>
    <w:rsid w:val="00A1262B"/>
    <w:rsid w:val="00A12A54"/>
    <w:rsid w:val="00A15E2C"/>
    <w:rsid w:val="00A212FA"/>
    <w:rsid w:val="00A35EE3"/>
    <w:rsid w:val="00A4158C"/>
    <w:rsid w:val="00A502AD"/>
    <w:rsid w:val="00A5113A"/>
    <w:rsid w:val="00A56FFA"/>
    <w:rsid w:val="00A5794E"/>
    <w:rsid w:val="00A60C8B"/>
    <w:rsid w:val="00A66BB5"/>
    <w:rsid w:val="00A71C08"/>
    <w:rsid w:val="00A823BC"/>
    <w:rsid w:val="00A85F40"/>
    <w:rsid w:val="00A91A63"/>
    <w:rsid w:val="00A9359F"/>
    <w:rsid w:val="00A95A2A"/>
    <w:rsid w:val="00A96C6B"/>
    <w:rsid w:val="00AA0690"/>
    <w:rsid w:val="00AA17B5"/>
    <w:rsid w:val="00AA285E"/>
    <w:rsid w:val="00AA5654"/>
    <w:rsid w:val="00AC6568"/>
    <w:rsid w:val="00AD3430"/>
    <w:rsid w:val="00AD4183"/>
    <w:rsid w:val="00AD44DD"/>
    <w:rsid w:val="00AE2E40"/>
    <w:rsid w:val="00AE3BF7"/>
    <w:rsid w:val="00AF11A5"/>
    <w:rsid w:val="00AF12A9"/>
    <w:rsid w:val="00AF33C3"/>
    <w:rsid w:val="00AF67ED"/>
    <w:rsid w:val="00AF6A33"/>
    <w:rsid w:val="00B003D2"/>
    <w:rsid w:val="00B03F54"/>
    <w:rsid w:val="00B04938"/>
    <w:rsid w:val="00B273FB"/>
    <w:rsid w:val="00B33050"/>
    <w:rsid w:val="00B4082F"/>
    <w:rsid w:val="00B42E8F"/>
    <w:rsid w:val="00B43946"/>
    <w:rsid w:val="00B4724C"/>
    <w:rsid w:val="00B479CE"/>
    <w:rsid w:val="00B54B75"/>
    <w:rsid w:val="00B55AAE"/>
    <w:rsid w:val="00B55F73"/>
    <w:rsid w:val="00B57B34"/>
    <w:rsid w:val="00B64D2A"/>
    <w:rsid w:val="00B72765"/>
    <w:rsid w:val="00B829F5"/>
    <w:rsid w:val="00B8726B"/>
    <w:rsid w:val="00B92145"/>
    <w:rsid w:val="00BA084A"/>
    <w:rsid w:val="00BA1320"/>
    <w:rsid w:val="00BA1CC9"/>
    <w:rsid w:val="00BB1E34"/>
    <w:rsid w:val="00BB4E0F"/>
    <w:rsid w:val="00BB50B1"/>
    <w:rsid w:val="00BC4FFB"/>
    <w:rsid w:val="00BD7F1A"/>
    <w:rsid w:val="00BE2808"/>
    <w:rsid w:val="00BF0F64"/>
    <w:rsid w:val="00C0398B"/>
    <w:rsid w:val="00C041CD"/>
    <w:rsid w:val="00C04FB7"/>
    <w:rsid w:val="00C11EDE"/>
    <w:rsid w:val="00C12814"/>
    <w:rsid w:val="00C14024"/>
    <w:rsid w:val="00C167B9"/>
    <w:rsid w:val="00C16D88"/>
    <w:rsid w:val="00C24C10"/>
    <w:rsid w:val="00C40303"/>
    <w:rsid w:val="00C42835"/>
    <w:rsid w:val="00C42B3C"/>
    <w:rsid w:val="00C43749"/>
    <w:rsid w:val="00C44F01"/>
    <w:rsid w:val="00C473A6"/>
    <w:rsid w:val="00C552DA"/>
    <w:rsid w:val="00C55BA3"/>
    <w:rsid w:val="00C612C4"/>
    <w:rsid w:val="00C64017"/>
    <w:rsid w:val="00C7081F"/>
    <w:rsid w:val="00C72A9F"/>
    <w:rsid w:val="00C734E5"/>
    <w:rsid w:val="00C74526"/>
    <w:rsid w:val="00C8578D"/>
    <w:rsid w:val="00C87F83"/>
    <w:rsid w:val="00C90F38"/>
    <w:rsid w:val="00C97517"/>
    <w:rsid w:val="00CA6B44"/>
    <w:rsid w:val="00CA6C24"/>
    <w:rsid w:val="00CA6DCE"/>
    <w:rsid w:val="00CB1BD1"/>
    <w:rsid w:val="00CB74F0"/>
    <w:rsid w:val="00CC27FE"/>
    <w:rsid w:val="00CC3CB6"/>
    <w:rsid w:val="00CC5B47"/>
    <w:rsid w:val="00CD013B"/>
    <w:rsid w:val="00CD0881"/>
    <w:rsid w:val="00CE5495"/>
    <w:rsid w:val="00D03197"/>
    <w:rsid w:val="00D03F85"/>
    <w:rsid w:val="00D0637C"/>
    <w:rsid w:val="00D12EEB"/>
    <w:rsid w:val="00D16A24"/>
    <w:rsid w:val="00D178D7"/>
    <w:rsid w:val="00D22AB4"/>
    <w:rsid w:val="00D234E2"/>
    <w:rsid w:val="00D24579"/>
    <w:rsid w:val="00D301E3"/>
    <w:rsid w:val="00D32F1C"/>
    <w:rsid w:val="00D332DA"/>
    <w:rsid w:val="00D33A64"/>
    <w:rsid w:val="00D3725B"/>
    <w:rsid w:val="00D37362"/>
    <w:rsid w:val="00D4536C"/>
    <w:rsid w:val="00D477D3"/>
    <w:rsid w:val="00D5578D"/>
    <w:rsid w:val="00D55DA9"/>
    <w:rsid w:val="00D63C7E"/>
    <w:rsid w:val="00D65887"/>
    <w:rsid w:val="00D66855"/>
    <w:rsid w:val="00D70183"/>
    <w:rsid w:val="00D72FEA"/>
    <w:rsid w:val="00D758DA"/>
    <w:rsid w:val="00D7709F"/>
    <w:rsid w:val="00D800A6"/>
    <w:rsid w:val="00D815D3"/>
    <w:rsid w:val="00D825CC"/>
    <w:rsid w:val="00D82822"/>
    <w:rsid w:val="00D902CF"/>
    <w:rsid w:val="00D91072"/>
    <w:rsid w:val="00D96B21"/>
    <w:rsid w:val="00D96F99"/>
    <w:rsid w:val="00D97778"/>
    <w:rsid w:val="00DA65B2"/>
    <w:rsid w:val="00DA6E96"/>
    <w:rsid w:val="00DB006A"/>
    <w:rsid w:val="00DB0FF1"/>
    <w:rsid w:val="00DB1382"/>
    <w:rsid w:val="00DB1C46"/>
    <w:rsid w:val="00DB74FE"/>
    <w:rsid w:val="00DC1E23"/>
    <w:rsid w:val="00DC625B"/>
    <w:rsid w:val="00DC7A02"/>
    <w:rsid w:val="00DD769E"/>
    <w:rsid w:val="00DD7801"/>
    <w:rsid w:val="00DE4250"/>
    <w:rsid w:val="00DE62F4"/>
    <w:rsid w:val="00DE7ABE"/>
    <w:rsid w:val="00DE7E5A"/>
    <w:rsid w:val="00DF24BA"/>
    <w:rsid w:val="00E02C41"/>
    <w:rsid w:val="00E06F2B"/>
    <w:rsid w:val="00E127B0"/>
    <w:rsid w:val="00E30830"/>
    <w:rsid w:val="00E36C91"/>
    <w:rsid w:val="00E414E6"/>
    <w:rsid w:val="00E5122A"/>
    <w:rsid w:val="00E523AC"/>
    <w:rsid w:val="00E5425E"/>
    <w:rsid w:val="00E57BE4"/>
    <w:rsid w:val="00E61D5E"/>
    <w:rsid w:val="00E6403E"/>
    <w:rsid w:val="00E64A88"/>
    <w:rsid w:val="00E675E0"/>
    <w:rsid w:val="00E803D3"/>
    <w:rsid w:val="00E82848"/>
    <w:rsid w:val="00E90437"/>
    <w:rsid w:val="00E9124B"/>
    <w:rsid w:val="00E936D5"/>
    <w:rsid w:val="00EA0CFB"/>
    <w:rsid w:val="00EA3CEA"/>
    <w:rsid w:val="00EB7E30"/>
    <w:rsid w:val="00EC7155"/>
    <w:rsid w:val="00EC7D5D"/>
    <w:rsid w:val="00EE0288"/>
    <w:rsid w:val="00EE3F43"/>
    <w:rsid w:val="00EE63C2"/>
    <w:rsid w:val="00EF3EF2"/>
    <w:rsid w:val="00F02425"/>
    <w:rsid w:val="00F038FD"/>
    <w:rsid w:val="00F178FA"/>
    <w:rsid w:val="00F20358"/>
    <w:rsid w:val="00F23534"/>
    <w:rsid w:val="00F404B7"/>
    <w:rsid w:val="00F45A66"/>
    <w:rsid w:val="00F467C5"/>
    <w:rsid w:val="00F47DA6"/>
    <w:rsid w:val="00F54D8C"/>
    <w:rsid w:val="00F557FA"/>
    <w:rsid w:val="00F74375"/>
    <w:rsid w:val="00F835A7"/>
    <w:rsid w:val="00F91986"/>
    <w:rsid w:val="00F92C87"/>
    <w:rsid w:val="00F94B8E"/>
    <w:rsid w:val="00FA03F3"/>
    <w:rsid w:val="00FA2342"/>
    <w:rsid w:val="00FB0C83"/>
    <w:rsid w:val="00FB19D2"/>
    <w:rsid w:val="00FB2A6E"/>
    <w:rsid w:val="00FB3755"/>
    <w:rsid w:val="00FB6666"/>
    <w:rsid w:val="00FB725D"/>
    <w:rsid w:val="00FC43CD"/>
    <w:rsid w:val="00FC6F4D"/>
    <w:rsid w:val="00FC7FA6"/>
    <w:rsid w:val="00FD0A97"/>
    <w:rsid w:val="00FD1CB3"/>
    <w:rsid w:val="00FD2885"/>
    <w:rsid w:val="00FE0F52"/>
    <w:rsid w:val="00FF38FF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</dc:creator>
  <cp:lastModifiedBy>Rony</cp:lastModifiedBy>
  <cp:revision>2</cp:revision>
  <dcterms:created xsi:type="dcterms:W3CDTF">2014-06-07T04:37:00Z</dcterms:created>
  <dcterms:modified xsi:type="dcterms:W3CDTF">2014-06-10T05:00:00Z</dcterms:modified>
</cp:coreProperties>
</file>