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5F" w:rsidRPr="004407D6" w:rsidRDefault="001D435F" w:rsidP="001D435F">
      <w:pPr>
        <w:spacing w:line="480" w:lineRule="auto"/>
        <w:rPr>
          <w:b/>
        </w:rPr>
      </w:pPr>
      <w:r w:rsidRPr="004407D6">
        <w:rPr>
          <w:b/>
        </w:rPr>
        <w:t>APPENDIX</w:t>
      </w:r>
    </w:p>
    <w:p w:rsidR="001D435F" w:rsidRPr="004407D6" w:rsidRDefault="001D435F" w:rsidP="001D435F">
      <w:pPr>
        <w:spacing w:line="480" w:lineRule="auto"/>
      </w:pPr>
      <w:r w:rsidRPr="004407D6">
        <w:rPr>
          <w:b/>
        </w:rPr>
        <w:t>Figure 1.A</w:t>
      </w:r>
      <w:r w:rsidRPr="004407D6">
        <w:t xml:space="preserve">. Patient Selection Flow Chart </w:t>
      </w:r>
    </w:p>
    <w:p w:rsidR="001D435F" w:rsidRDefault="001D435F" w:rsidP="001D435F">
      <w:pPr>
        <w:spacing w:line="480" w:lineRule="auto"/>
      </w:pPr>
      <w:r w:rsidRPr="004407D6">
        <w:rPr>
          <w:b/>
        </w:rPr>
        <w:t>Table A.1.</w:t>
      </w:r>
      <w:r w:rsidRPr="004407D6">
        <w:t xml:space="preserve"> Diagnosis and Procedure Codes Used to Define Bacteremia and Respiratory Complications during Hospitalizations for Community-Acquired Pneumonia</w:t>
      </w:r>
    </w:p>
    <w:p w:rsidR="00357530" w:rsidRDefault="00357530" w:rsidP="00357530">
      <w:pPr>
        <w:spacing w:line="480" w:lineRule="auto"/>
      </w:pPr>
      <w:r w:rsidRPr="00C86D4C">
        <w:rPr>
          <w:b/>
        </w:rPr>
        <w:t xml:space="preserve">Table </w:t>
      </w:r>
      <w:r>
        <w:rPr>
          <w:b/>
        </w:rPr>
        <w:t>A2</w:t>
      </w:r>
      <w:r w:rsidRPr="00C86D4C">
        <w:rPr>
          <w:b/>
        </w:rPr>
        <w:t xml:space="preserve">. </w:t>
      </w:r>
      <w:r w:rsidRPr="00357530">
        <w:t>Sensitivity Analyses of Length of Stay and Inpatient Death in Elderly Veterans Hospitalized for Community-Acquired Pneumonia in Fiscal Year 2003</w:t>
      </w:r>
    </w:p>
    <w:p w:rsidR="001D435F" w:rsidRDefault="001D435F" w:rsidP="00357530">
      <w:pPr>
        <w:spacing w:line="480" w:lineRule="auto"/>
      </w:pPr>
      <w:r w:rsidRPr="004407D6">
        <w:rPr>
          <w:b/>
        </w:rPr>
        <w:t>Table A.</w:t>
      </w:r>
      <w:r w:rsidR="00357530">
        <w:rPr>
          <w:b/>
        </w:rPr>
        <w:t>3</w:t>
      </w:r>
      <w:r w:rsidRPr="004407D6">
        <w:rPr>
          <w:b/>
        </w:rPr>
        <w:t>.</w:t>
      </w:r>
      <w:r w:rsidRPr="004407D6">
        <w:t xml:space="preserve"> Sensitivity Analyses of Bacteremia and Respiratory Complications in Elderly Veterans Hospitalized for Community-Acquired Pneumonia in Fiscal Year 2003</w:t>
      </w:r>
    </w:p>
    <w:p w:rsidR="00357530" w:rsidRDefault="00357530" w:rsidP="00357530">
      <w:pPr>
        <w:spacing w:line="480" w:lineRule="auto"/>
      </w:pPr>
      <w:r w:rsidRPr="00357530">
        <w:rPr>
          <w:b/>
        </w:rPr>
        <w:t>Table A.4.</w:t>
      </w:r>
      <w:r>
        <w:t xml:space="preserve"> Sensitivity Analyses of Flu Season </w:t>
      </w:r>
      <w:r w:rsidRPr="004407D6">
        <w:t>in Elderly Veterans Hospitalized for Community-Acquired Pneumonia in Fiscal Year 2003</w:t>
      </w:r>
    </w:p>
    <w:p w:rsidR="00357530" w:rsidRPr="00357530" w:rsidRDefault="00357530" w:rsidP="00357530">
      <w:pPr>
        <w:spacing w:line="480" w:lineRule="auto"/>
      </w:pPr>
      <w:r w:rsidRPr="00357530">
        <w:rPr>
          <w:b/>
        </w:rPr>
        <w:t>Table A.</w:t>
      </w:r>
      <w:r>
        <w:rPr>
          <w:b/>
        </w:rPr>
        <w:t>5</w:t>
      </w:r>
      <w:r w:rsidRPr="00357530">
        <w:rPr>
          <w:b/>
        </w:rPr>
        <w:t>.</w:t>
      </w:r>
      <w:r>
        <w:t xml:space="preserve"> </w:t>
      </w:r>
      <w:r w:rsidRPr="00357530">
        <w:t xml:space="preserve">Sensitivity Analyses of Time </w:t>
      </w:r>
      <w:r w:rsidR="00552910">
        <w:t>s</w:t>
      </w:r>
      <w:r w:rsidRPr="00357530">
        <w:t>ince Last PV in Elderly Veterans Hospitalized for Community-Acquired Pneumonia in Fiscal Year 2003*</w:t>
      </w:r>
    </w:p>
    <w:p w:rsidR="00357530" w:rsidRDefault="00357530" w:rsidP="00357530">
      <w:pPr>
        <w:spacing w:line="480" w:lineRule="auto"/>
      </w:pPr>
    </w:p>
    <w:p w:rsidR="00357530" w:rsidRPr="004407D6" w:rsidRDefault="00357530" w:rsidP="00357530">
      <w:pPr>
        <w:spacing w:line="480" w:lineRule="auto"/>
      </w:pPr>
    </w:p>
    <w:p w:rsidR="001D435F" w:rsidRDefault="001D435F">
      <w:pPr>
        <w:spacing w:after="200" w:line="276" w:lineRule="auto"/>
        <w:rPr>
          <w:b/>
        </w:rPr>
      </w:pPr>
      <w:r>
        <w:rPr>
          <w:b/>
        </w:rPr>
        <w:br w:type="page"/>
      </w:r>
    </w:p>
    <w:p w:rsidR="001D435F" w:rsidRPr="00C86D4C" w:rsidRDefault="001D435F" w:rsidP="001D435F">
      <w:pPr>
        <w:spacing w:line="480" w:lineRule="auto"/>
        <w:rPr>
          <w:b/>
        </w:rPr>
      </w:pPr>
      <w:r w:rsidRPr="00C86D4C">
        <w:rPr>
          <w:b/>
        </w:rPr>
        <w:lastRenderedPageBreak/>
        <w:t>APPENDIX</w:t>
      </w:r>
    </w:p>
    <w:p w:rsidR="001D435F" w:rsidRPr="00C86D4C" w:rsidRDefault="001D435F" w:rsidP="001D435F">
      <w:pPr>
        <w:spacing w:line="480" w:lineRule="auto"/>
        <w:rPr>
          <w:b/>
        </w:rPr>
      </w:pPr>
      <w:r w:rsidRPr="00C86D4C">
        <w:rPr>
          <w:b/>
        </w:rPr>
        <w:t>Figure A</w:t>
      </w:r>
      <w:r>
        <w:rPr>
          <w:b/>
        </w:rPr>
        <w:t>.</w:t>
      </w:r>
      <w:r w:rsidRPr="00C86D4C">
        <w:rPr>
          <w:b/>
        </w:rPr>
        <w:t>1: Patient Selection Flow Chart</w:t>
      </w:r>
    </w:p>
    <w:p w:rsidR="001D435F" w:rsidRPr="00C86D4C" w:rsidRDefault="001D435F" w:rsidP="001D435F">
      <w:pPr>
        <w:spacing w:line="480" w:lineRule="auto"/>
        <w:rPr>
          <w:b/>
        </w:rPr>
      </w:pPr>
      <w:r w:rsidRPr="000F19F8">
        <w:rPr>
          <w:noProof/>
        </w:rPr>
        <w:drawing>
          <wp:inline distT="0" distB="0" distL="0" distR="0">
            <wp:extent cx="5943600" cy="40891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089123"/>
                    </a:xfrm>
                    <a:prstGeom prst="rect">
                      <a:avLst/>
                    </a:prstGeom>
                    <a:noFill/>
                    <a:ln w="9525">
                      <a:noFill/>
                      <a:miter lim="800000"/>
                      <a:headEnd/>
                      <a:tailEnd/>
                    </a:ln>
                  </pic:spPr>
                </pic:pic>
              </a:graphicData>
            </a:graphic>
          </wp:inline>
        </w:drawing>
      </w:r>
    </w:p>
    <w:p w:rsidR="001D435F" w:rsidRPr="00C86D4C" w:rsidRDefault="001D435F" w:rsidP="001D435F">
      <w:pPr>
        <w:spacing w:after="200" w:line="480" w:lineRule="auto"/>
        <w:rPr>
          <w:b/>
        </w:rPr>
      </w:pPr>
      <w:r w:rsidRPr="00C86D4C">
        <w:rPr>
          <w:b/>
        </w:rPr>
        <w:br w:type="page"/>
      </w:r>
    </w:p>
    <w:p w:rsidR="001D435F" w:rsidRPr="002C243A" w:rsidRDefault="001D435F" w:rsidP="001D435F">
      <w:pPr>
        <w:spacing w:after="200" w:line="480" w:lineRule="auto"/>
        <w:rPr>
          <w:b/>
        </w:rPr>
      </w:pPr>
      <w:r w:rsidRPr="002C243A">
        <w:rPr>
          <w:b/>
        </w:rPr>
        <w:lastRenderedPageBreak/>
        <w:t>Table A</w:t>
      </w:r>
      <w:r>
        <w:rPr>
          <w:b/>
        </w:rPr>
        <w:t>.</w:t>
      </w:r>
      <w:r w:rsidRPr="002C243A">
        <w:rPr>
          <w:b/>
        </w:rPr>
        <w:t xml:space="preserve">1: Diagnosis and Procedure Codes Used to Define Bacteremia and Respiratory Complications during Hospitalizations for </w:t>
      </w:r>
      <w:r>
        <w:rPr>
          <w:b/>
        </w:rPr>
        <w:t>Community-Acquired Pneumonia</w:t>
      </w:r>
    </w:p>
    <w:tbl>
      <w:tblPr>
        <w:tblW w:w="7080" w:type="dxa"/>
        <w:tblInd w:w="93" w:type="dxa"/>
        <w:tblLook w:val="04A0" w:firstRow="1" w:lastRow="0" w:firstColumn="1" w:lastColumn="0" w:noHBand="0" w:noVBand="1"/>
      </w:tblPr>
      <w:tblGrid>
        <w:gridCol w:w="3700"/>
        <w:gridCol w:w="3380"/>
      </w:tblGrid>
      <w:tr w:rsidR="001D435F" w:rsidRPr="00C86D4C" w:rsidTr="00357530">
        <w:trPr>
          <w:trHeight w:val="300"/>
        </w:trPr>
        <w:tc>
          <w:tcPr>
            <w:tcW w:w="3700" w:type="dxa"/>
            <w:tcBorders>
              <w:top w:val="nil"/>
              <w:left w:val="nil"/>
              <w:bottom w:val="nil"/>
              <w:right w:val="nil"/>
            </w:tcBorders>
            <w:shd w:val="clear" w:color="auto" w:fill="auto"/>
            <w:noWrap/>
            <w:vAlign w:val="bottom"/>
            <w:hideMark/>
          </w:tcPr>
          <w:p w:rsidR="001D435F" w:rsidRPr="00C86D4C" w:rsidRDefault="001D435F" w:rsidP="00357530">
            <w:pPr>
              <w:spacing w:line="480" w:lineRule="auto"/>
              <w:rPr>
                <w:color w:val="000000"/>
              </w:rPr>
            </w:pPr>
          </w:p>
        </w:tc>
        <w:tc>
          <w:tcPr>
            <w:tcW w:w="3380" w:type="dxa"/>
            <w:tcBorders>
              <w:top w:val="nil"/>
              <w:left w:val="nil"/>
              <w:bottom w:val="nil"/>
              <w:right w:val="nil"/>
            </w:tcBorders>
            <w:shd w:val="clear" w:color="auto" w:fill="auto"/>
            <w:noWrap/>
            <w:vAlign w:val="bottom"/>
            <w:hideMark/>
          </w:tcPr>
          <w:p w:rsidR="001D435F" w:rsidRPr="00C86D4C" w:rsidRDefault="001D435F" w:rsidP="00357530">
            <w:pPr>
              <w:spacing w:line="480" w:lineRule="auto"/>
              <w:rPr>
                <w:color w:val="000000"/>
              </w:rPr>
            </w:pPr>
          </w:p>
        </w:tc>
      </w:tr>
      <w:tr w:rsidR="001D435F" w:rsidRPr="00C86D4C" w:rsidTr="00357530">
        <w:trPr>
          <w:trHeight w:val="630"/>
        </w:trPr>
        <w:tc>
          <w:tcPr>
            <w:tcW w:w="3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435F" w:rsidRPr="00C86D4C" w:rsidRDefault="001D435F" w:rsidP="00357530">
            <w:pPr>
              <w:spacing w:line="480" w:lineRule="auto"/>
              <w:rPr>
                <w:b/>
                <w:bCs/>
                <w:color w:val="000000"/>
              </w:rPr>
            </w:pPr>
            <w:r w:rsidRPr="00C86D4C">
              <w:rPr>
                <w:b/>
                <w:bCs/>
                <w:color w:val="000000"/>
              </w:rPr>
              <w:t>Bacteremia and Respiratory Complications</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1D435F" w:rsidRPr="00C86D4C" w:rsidRDefault="001D435F" w:rsidP="00357530">
            <w:pPr>
              <w:spacing w:line="480" w:lineRule="auto"/>
              <w:rPr>
                <w:b/>
                <w:bCs/>
                <w:color w:val="000000"/>
              </w:rPr>
            </w:pPr>
            <w:r w:rsidRPr="00C86D4C">
              <w:rPr>
                <w:b/>
                <w:bCs/>
                <w:color w:val="000000"/>
              </w:rPr>
              <w:t>ICD-9 Diagnosis/Procedure Codes</w:t>
            </w:r>
          </w:p>
        </w:tc>
      </w:tr>
      <w:tr w:rsidR="001D435F" w:rsidRPr="00C86D4C" w:rsidTr="00357530">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 xml:space="preserve">Bacteremia </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038.0x, 038</w:t>
            </w:r>
            <w:r w:rsidR="00994D1A">
              <w:rPr>
                <w:color w:val="000000"/>
              </w:rPr>
              <w:t>.2x, 041.0x, 041.2x, 320.1x, 790</w:t>
            </w:r>
            <w:r w:rsidRPr="00C86D4C">
              <w:rPr>
                <w:color w:val="000000"/>
              </w:rPr>
              <w:t>.7x</w:t>
            </w:r>
          </w:p>
        </w:tc>
      </w:tr>
      <w:tr w:rsidR="001D435F" w:rsidRPr="00C86D4C" w:rsidTr="00357530">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 xml:space="preserve">Septicemia </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038.1x, 038.3x, 038.4x, 038.8x,038.9x, 020.2x</w:t>
            </w:r>
          </w:p>
        </w:tc>
      </w:tr>
      <w:tr w:rsidR="001D435F" w:rsidRPr="00C86D4C" w:rsidTr="00357530">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Acute respiratory failure, distress or insufficiency</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518.81, 518.82, 786.09, 799.1x</w:t>
            </w:r>
          </w:p>
        </w:tc>
      </w:tr>
      <w:tr w:rsidR="001D435F" w:rsidRPr="00C86D4C" w:rsidTr="00357530">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Atelectasis</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518.0x</w:t>
            </w:r>
          </w:p>
        </w:tc>
      </w:tr>
      <w:tr w:rsidR="001D435F" w:rsidRPr="00C86D4C" w:rsidTr="00357530">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Acute bronchitis</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466.0x</w:t>
            </w:r>
          </w:p>
        </w:tc>
      </w:tr>
      <w:tr w:rsidR="001D435F" w:rsidRPr="00C86D4C" w:rsidTr="00357530">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 xml:space="preserve">Emphysema without mention of fistula </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510.9x</w:t>
            </w:r>
          </w:p>
        </w:tc>
      </w:tr>
      <w:tr w:rsidR="001D435F" w:rsidRPr="00C86D4C" w:rsidTr="00357530">
        <w:trPr>
          <w:trHeight w:val="630"/>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 xml:space="preserve">Systemic inflammatory response syndrome (SIRS) </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995.90-995.92</w:t>
            </w:r>
          </w:p>
        </w:tc>
      </w:tr>
      <w:tr w:rsidR="001D435F" w:rsidRPr="00C86D4C" w:rsidTr="00357530">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Aspiration</w:t>
            </w:r>
          </w:p>
        </w:tc>
        <w:tc>
          <w:tcPr>
            <w:tcW w:w="3380" w:type="dxa"/>
            <w:tcBorders>
              <w:top w:val="nil"/>
              <w:left w:val="nil"/>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787.2x, 507.0x</w:t>
            </w:r>
          </w:p>
        </w:tc>
      </w:tr>
      <w:tr w:rsidR="001D435F" w:rsidRPr="00894494" w:rsidTr="00357530">
        <w:trPr>
          <w:trHeight w:val="315"/>
        </w:trPr>
        <w:tc>
          <w:tcPr>
            <w:tcW w:w="3700" w:type="dxa"/>
            <w:tcBorders>
              <w:top w:val="nil"/>
              <w:left w:val="single" w:sz="4" w:space="0" w:color="auto"/>
              <w:bottom w:val="single" w:sz="4" w:space="0" w:color="auto"/>
              <w:right w:val="single" w:sz="4" w:space="0" w:color="auto"/>
            </w:tcBorders>
            <w:shd w:val="clear" w:color="auto" w:fill="auto"/>
            <w:hideMark/>
          </w:tcPr>
          <w:p w:rsidR="001D435F" w:rsidRPr="00C86D4C" w:rsidRDefault="001D435F" w:rsidP="00357530">
            <w:pPr>
              <w:spacing w:line="480" w:lineRule="auto"/>
              <w:rPr>
                <w:color w:val="000000"/>
              </w:rPr>
            </w:pPr>
            <w:r w:rsidRPr="00C86D4C">
              <w:rPr>
                <w:color w:val="000000"/>
              </w:rPr>
              <w:t>Mechanical Ventilation</w:t>
            </w:r>
          </w:p>
        </w:tc>
        <w:tc>
          <w:tcPr>
            <w:tcW w:w="3380" w:type="dxa"/>
            <w:tcBorders>
              <w:top w:val="nil"/>
              <w:left w:val="nil"/>
              <w:bottom w:val="single" w:sz="4" w:space="0" w:color="auto"/>
              <w:right w:val="single" w:sz="4" w:space="0" w:color="auto"/>
            </w:tcBorders>
            <w:shd w:val="clear" w:color="auto" w:fill="auto"/>
            <w:hideMark/>
          </w:tcPr>
          <w:p w:rsidR="001D435F" w:rsidRPr="00894494" w:rsidRDefault="001D435F" w:rsidP="00357530">
            <w:pPr>
              <w:spacing w:line="480" w:lineRule="auto"/>
              <w:rPr>
                <w:color w:val="000000"/>
              </w:rPr>
            </w:pPr>
            <w:r w:rsidRPr="00C86D4C">
              <w:rPr>
                <w:color w:val="000000"/>
              </w:rPr>
              <w:t>96.70, 93.90, 93.91</w:t>
            </w:r>
          </w:p>
        </w:tc>
      </w:tr>
    </w:tbl>
    <w:p w:rsidR="001D435F" w:rsidRDefault="001D435F" w:rsidP="001D435F">
      <w:pPr>
        <w:spacing w:line="480" w:lineRule="auto"/>
      </w:pPr>
    </w:p>
    <w:p w:rsidR="001D435F" w:rsidRDefault="001D435F" w:rsidP="001D435F">
      <w:pPr>
        <w:spacing w:after="200" w:line="276" w:lineRule="auto"/>
      </w:pPr>
      <w:r>
        <w:br w:type="page"/>
      </w:r>
    </w:p>
    <w:p w:rsidR="00357530" w:rsidRDefault="00357530" w:rsidP="00357530">
      <w:pPr>
        <w:spacing w:after="200" w:line="480" w:lineRule="auto"/>
        <w:rPr>
          <w:b/>
        </w:rPr>
      </w:pPr>
      <w:r w:rsidRPr="00C86D4C">
        <w:rPr>
          <w:b/>
        </w:rPr>
        <w:lastRenderedPageBreak/>
        <w:t xml:space="preserve">Table </w:t>
      </w:r>
      <w:r>
        <w:rPr>
          <w:b/>
        </w:rPr>
        <w:t>A2</w:t>
      </w:r>
      <w:r w:rsidRPr="00C86D4C">
        <w:rPr>
          <w:b/>
        </w:rPr>
        <w:t xml:space="preserve">. Sensitivity Analyses </w:t>
      </w:r>
      <w:r>
        <w:rPr>
          <w:b/>
        </w:rPr>
        <w:t>of</w:t>
      </w:r>
      <w:r w:rsidRPr="00C86D4C">
        <w:rPr>
          <w:b/>
        </w:rPr>
        <w:t xml:space="preserve"> Length of Stay and Inpatient Death</w:t>
      </w:r>
      <w:r>
        <w:rPr>
          <w:b/>
        </w:rPr>
        <w:t xml:space="preserve"> in Elderly </w:t>
      </w:r>
      <w:r w:rsidRPr="00650BC7">
        <w:rPr>
          <w:b/>
        </w:rPr>
        <w:t>Veterans Hospitalized for Community-Acquired Pneumonia in Fiscal Year 2003</w:t>
      </w:r>
    </w:p>
    <w:tbl>
      <w:tblPr>
        <w:tblW w:w="9127" w:type="dxa"/>
        <w:tblInd w:w="93" w:type="dxa"/>
        <w:tblLook w:val="04A0" w:firstRow="1" w:lastRow="0" w:firstColumn="1" w:lastColumn="0" w:noHBand="0" w:noVBand="1"/>
      </w:tblPr>
      <w:tblGrid>
        <w:gridCol w:w="3247"/>
        <w:gridCol w:w="772"/>
        <w:gridCol w:w="1216"/>
        <w:gridCol w:w="1012"/>
        <w:gridCol w:w="750"/>
        <w:gridCol w:w="1140"/>
        <w:gridCol w:w="990"/>
      </w:tblGrid>
      <w:tr w:rsidR="00357530" w:rsidRPr="0019481B" w:rsidTr="0020660A">
        <w:trPr>
          <w:trHeight w:val="315"/>
        </w:trPr>
        <w:tc>
          <w:tcPr>
            <w:tcW w:w="3247" w:type="dxa"/>
            <w:tcBorders>
              <w:top w:val="single" w:sz="4" w:space="0" w:color="auto"/>
            </w:tcBorders>
            <w:shd w:val="clear" w:color="auto" w:fill="auto"/>
            <w:noWrap/>
            <w:vAlign w:val="center"/>
            <w:hideMark/>
          </w:tcPr>
          <w:p w:rsidR="00357530" w:rsidRPr="0019481B" w:rsidRDefault="00357530" w:rsidP="00BC5838">
            <w:pPr>
              <w:rPr>
                <w:color w:val="000000"/>
              </w:rPr>
            </w:pPr>
            <w:r w:rsidRPr="0019481B">
              <w:rPr>
                <w:color w:val="000000"/>
              </w:rPr>
              <w:t> </w:t>
            </w:r>
          </w:p>
        </w:tc>
        <w:tc>
          <w:tcPr>
            <w:tcW w:w="3000" w:type="dxa"/>
            <w:gridSpan w:val="3"/>
            <w:tcBorders>
              <w:top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Length of Stay</w:t>
            </w:r>
            <w:r w:rsidR="00521C18">
              <w:rPr>
                <w:b/>
                <w:bCs/>
                <w:color w:val="000000"/>
              </w:rPr>
              <w:t xml:space="preserve"> (Days)</w:t>
            </w:r>
          </w:p>
        </w:tc>
        <w:tc>
          <w:tcPr>
            <w:tcW w:w="2880" w:type="dxa"/>
            <w:gridSpan w:val="3"/>
            <w:tcBorders>
              <w:top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Inpatient Death</w:t>
            </w:r>
          </w:p>
        </w:tc>
      </w:tr>
      <w:tr w:rsidR="00357530" w:rsidRPr="0019481B" w:rsidTr="0020660A">
        <w:trPr>
          <w:trHeight w:val="330"/>
        </w:trPr>
        <w:tc>
          <w:tcPr>
            <w:tcW w:w="3247" w:type="dxa"/>
            <w:tcBorders>
              <w:bottom w:val="single" w:sz="4" w:space="0" w:color="auto"/>
            </w:tcBorders>
            <w:shd w:val="clear" w:color="auto" w:fill="auto"/>
            <w:noWrap/>
            <w:vAlign w:val="bottom"/>
            <w:hideMark/>
          </w:tcPr>
          <w:p w:rsidR="00357530" w:rsidRPr="0019481B" w:rsidRDefault="00357530" w:rsidP="00BC5838">
            <w:pPr>
              <w:rPr>
                <w:rFonts w:ascii="Calibri" w:hAnsi="Calibri" w:cs="Calibri"/>
                <w:color w:val="000000"/>
              </w:rPr>
            </w:pPr>
            <w:r w:rsidRPr="0019481B">
              <w:rPr>
                <w:rFonts w:ascii="Calibri" w:hAnsi="Calibri" w:cs="Calibri"/>
                <w:color w:val="000000"/>
                <w:sz w:val="22"/>
                <w:szCs w:val="22"/>
              </w:rPr>
              <w:t> </w:t>
            </w:r>
          </w:p>
        </w:tc>
        <w:tc>
          <w:tcPr>
            <w:tcW w:w="772" w:type="dxa"/>
            <w:tcBorders>
              <w:bottom w:val="single" w:sz="4" w:space="0" w:color="auto"/>
            </w:tcBorders>
            <w:shd w:val="clear" w:color="auto" w:fill="auto"/>
            <w:noWrap/>
            <w:vAlign w:val="center"/>
            <w:hideMark/>
          </w:tcPr>
          <w:p w:rsidR="00357530" w:rsidRPr="0019481B" w:rsidRDefault="00661A30" w:rsidP="00BC5838">
            <w:pPr>
              <w:jc w:val="center"/>
              <w:rPr>
                <w:b/>
                <w:bCs/>
                <w:color w:val="000000"/>
              </w:rPr>
            </w:pPr>
            <w:r>
              <w:rPr>
                <w:b/>
                <w:bCs/>
                <w:color w:val="000000"/>
                <w:highlight w:val="yellow"/>
              </w:rPr>
              <w:t>IRR</w:t>
            </w:r>
          </w:p>
        </w:tc>
        <w:tc>
          <w:tcPr>
            <w:tcW w:w="1216" w:type="dxa"/>
            <w:tcBorders>
              <w:bottom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95% CI</w:t>
            </w:r>
          </w:p>
        </w:tc>
        <w:tc>
          <w:tcPr>
            <w:tcW w:w="1012" w:type="dxa"/>
            <w:tcBorders>
              <w:bottom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P-value</w:t>
            </w:r>
          </w:p>
        </w:tc>
        <w:tc>
          <w:tcPr>
            <w:tcW w:w="750" w:type="dxa"/>
            <w:tcBorders>
              <w:bottom w:val="single" w:sz="4" w:space="0" w:color="auto"/>
            </w:tcBorders>
            <w:shd w:val="clear" w:color="auto" w:fill="auto"/>
            <w:noWrap/>
            <w:vAlign w:val="center"/>
            <w:hideMark/>
          </w:tcPr>
          <w:p w:rsidR="00357530" w:rsidRPr="0019481B" w:rsidRDefault="00521C18" w:rsidP="00BC5838">
            <w:pPr>
              <w:jc w:val="center"/>
              <w:rPr>
                <w:b/>
                <w:bCs/>
                <w:color w:val="000000"/>
              </w:rPr>
            </w:pPr>
            <w:r w:rsidRPr="00D03E25">
              <w:rPr>
                <w:b/>
                <w:bCs/>
                <w:color w:val="000000"/>
                <w:highlight w:val="yellow"/>
              </w:rPr>
              <w:t>O</w:t>
            </w:r>
            <w:r w:rsidR="00357530" w:rsidRPr="00D03E25">
              <w:rPr>
                <w:b/>
                <w:bCs/>
                <w:color w:val="000000"/>
                <w:highlight w:val="yellow"/>
              </w:rPr>
              <w:t>R</w:t>
            </w:r>
          </w:p>
        </w:tc>
        <w:tc>
          <w:tcPr>
            <w:tcW w:w="1140" w:type="dxa"/>
            <w:tcBorders>
              <w:bottom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95% CI</w:t>
            </w:r>
          </w:p>
        </w:tc>
        <w:tc>
          <w:tcPr>
            <w:tcW w:w="990" w:type="dxa"/>
            <w:tcBorders>
              <w:bottom w:val="single" w:sz="4" w:space="0" w:color="auto"/>
            </w:tcBorders>
            <w:shd w:val="clear" w:color="auto" w:fill="auto"/>
            <w:noWrap/>
            <w:vAlign w:val="center"/>
            <w:hideMark/>
          </w:tcPr>
          <w:p w:rsidR="00357530" w:rsidRPr="0019481B" w:rsidRDefault="00357530" w:rsidP="00BC5838">
            <w:pPr>
              <w:jc w:val="center"/>
              <w:rPr>
                <w:b/>
                <w:bCs/>
                <w:color w:val="000000"/>
              </w:rPr>
            </w:pPr>
            <w:r w:rsidRPr="0019481B">
              <w:rPr>
                <w:b/>
                <w:bCs/>
                <w:color w:val="000000"/>
              </w:rPr>
              <w:t>P-value</w:t>
            </w:r>
          </w:p>
        </w:tc>
      </w:tr>
      <w:tr w:rsidR="00357530" w:rsidRPr="0019481B" w:rsidTr="0020660A">
        <w:trPr>
          <w:trHeight w:val="315"/>
        </w:trPr>
        <w:tc>
          <w:tcPr>
            <w:tcW w:w="9127" w:type="dxa"/>
            <w:gridSpan w:val="7"/>
            <w:tcBorders>
              <w:top w:val="single" w:sz="4" w:space="0" w:color="auto"/>
            </w:tcBorders>
            <w:shd w:val="clear" w:color="auto" w:fill="auto"/>
            <w:noWrap/>
            <w:vAlign w:val="center"/>
            <w:hideMark/>
          </w:tcPr>
          <w:p w:rsidR="00357530" w:rsidRPr="0019481B" w:rsidRDefault="00357530" w:rsidP="00BC5838">
            <w:pPr>
              <w:rPr>
                <w:b/>
                <w:bCs/>
                <w:color w:val="000000"/>
              </w:rPr>
            </w:pPr>
            <w:r w:rsidRPr="0019481B">
              <w:rPr>
                <w:b/>
                <w:bCs/>
                <w:color w:val="000000"/>
              </w:rPr>
              <w:t>SA 1: Including admissions from nursing home or other inpatient facilities (n=7296) </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PV in previous 5 Years</w:t>
            </w:r>
          </w:p>
        </w:tc>
        <w:tc>
          <w:tcPr>
            <w:tcW w:w="772" w:type="dxa"/>
            <w:shd w:val="clear" w:color="auto" w:fill="auto"/>
            <w:noWrap/>
            <w:vAlign w:val="center"/>
            <w:hideMark/>
          </w:tcPr>
          <w:p w:rsidR="00357530" w:rsidRPr="00717D92" w:rsidRDefault="00521C18" w:rsidP="00BC5838">
            <w:pPr>
              <w:jc w:val="center"/>
              <w:rPr>
                <w:color w:val="000000"/>
                <w:highlight w:val="yellow"/>
              </w:rPr>
            </w:pPr>
            <w:r>
              <w:rPr>
                <w:color w:val="000000"/>
                <w:highlight w:val="yellow"/>
              </w:rPr>
              <w:t>1.02</w:t>
            </w:r>
          </w:p>
        </w:tc>
        <w:tc>
          <w:tcPr>
            <w:tcW w:w="1216"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521C18">
              <w:rPr>
                <w:color w:val="000000"/>
                <w:highlight w:val="yellow"/>
              </w:rPr>
              <w:t>97</w:t>
            </w:r>
            <w:r w:rsidRPr="00717D92">
              <w:rPr>
                <w:color w:val="000000"/>
                <w:highlight w:val="yellow"/>
              </w:rPr>
              <w:t>-</w:t>
            </w:r>
            <w:r w:rsidR="00521C18">
              <w:rPr>
                <w:color w:val="000000"/>
                <w:highlight w:val="yellow"/>
              </w:rPr>
              <w:t>1.07</w:t>
            </w:r>
          </w:p>
        </w:tc>
        <w:tc>
          <w:tcPr>
            <w:tcW w:w="1012" w:type="dxa"/>
            <w:shd w:val="clear" w:color="auto" w:fill="auto"/>
            <w:noWrap/>
            <w:vAlign w:val="center"/>
            <w:hideMark/>
          </w:tcPr>
          <w:p w:rsidR="00357530" w:rsidRPr="00717D92" w:rsidRDefault="00521C18" w:rsidP="00BC5838">
            <w:pPr>
              <w:jc w:val="center"/>
              <w:rPr>
                <w:color w:val="000000"/>
                <w:highlight w:val="yellow"/>
              </w:rPr>
            </w:pPr>
            <w:r>
              <w:rPr>
                <w:color w:val="000000"/>
                <w:highlight w:val="yellow"/>
              </w:rPr>
              <w:t>0.5503</w:t>
            </w:r>
          </w:p>
        </w:tc>
        <w:tc>
          <w:tcPr>
            <w:tcW w:w="75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1.06</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0.8</w:t>
            </w:r>
            <w:r w:rsidR="00717D92">
              <w:rPr>
                <w:color w:val="000000"/>
                <w:highlight w:val="yellow"/>
              </w:rPr>
              <w:t>4</w:t>
            </w:r>
            <w:r w:rsidRPr="00717D92">
              <w:rPr>
                <w:color w:val="000000"/>
                <w:highlight w:val="yellow"/>
              </w:rPr>
              <w:t>-1.3</w:t>
            </w:r>
            <w:r w:rsidR="00717D92">
              <w:rPr>
                <w:color w:val="000000"/>
                <w:highlight w:val="yellow"/>
              </w:rPr>
              <w:t>5</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Pr>
                <w:color w:val="000000"/>
                <w:highlight w:val="yellow"/>
              </w:rPr>
              <w:t>.</w:t>
            </w:r>
            <w:r w:rsidRPr="00717D92">
              <w:rPr>
                <w:color w:val="000000"/>
                <w:highlight w:val="yellow"/>
              </w:rPr>
              <w:t>6</w:t>
            </w:r>
            <w:r w:rsidR="00717D92">
              <w:rPr>
                <w:color w:val="000000"/>
                <w:highlight w:val="yellow"/>
              </w:rPr>
              <w:t>102</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FV last year</w:t>
            </w:r>
          </w:p>
        </w:tc>
        <w:tc>
          <w:tcPr>
            <w:tcW w:w="772" w:type="dxa"/>
            <w:shd w:val="clear" w:color="auto" w:fill="auto"/>
            <w:noWrap/>
            <w:vAlign w:val="center"/>
            <w:hideMark/>
          </w:tcPr>
          <w:p w:rsidR="00357530" w:rsidRPr="00717D92" w:rsidRDefault="00521C18" w:rsidP="00BC5838">
            <w:pPr>
              <w:jc w:val="center"/>
              <w:rPr>
                <w:color w:val="000000"/>
                <w:highlight w:val="yellow"/>
              </w:rPr>
            </w:pPr>
            <w:r>
              <w:rPr>
                <w:color w:val="000000"/>
                <w:highlight w:val="yellow"/>
              </w:rPr>
              <w:t>0.97</w:t>
            </w:r>
          </w:p>
        </w:tc>
        <w:tc>
          <w:tcPr>
            <w:tcW w:w="1216" w:type="dxa"/>
            <w:shd w:val="clear" w:color="auto" w:fill="auto"/>
            <w:noWrap/>
            <w:vAlign w:val="center"/>
            <w:hideMark/>
          </w:tcPr>
          <w:p w:rsidR="00357530" w:rsidRPr="00717D92" w:rsidRDefault="00521C18" w:rsidP="00BC5838">
            <w:pPr>
              <w:jc w:val="center"/>
              <w:rPr>
                <w:color w:val="000000"/>
                <w:highlight w:val="yellow"/>
              </w:rPr>
            </w:pPr>
            <w:r>
              <w:rPr>
                <w:color w:val="000000"/>
                <w:highlight w:val="yellow"/>
              </w:rPr>
              <w:t>0.93</w:t>
            </w:r>
            <w:r w:rsidR="00357530" w:rsidRPr="00717D92">
              <w:rPr>
                <w:color w:val="000000"/>
                <w:highlight w:val="yellow"/>
              </w:rPr>
              <w:t>-1.</w:t>
            </w:r>
            <w:r>
              <w:rPr>
                <w:color w:val="000000"/>
                <w:highlight w:val="yellow"/>
              </w:rPr>
              <w:t>02</w:t>
            </w:r>
          </w:p>
        </w:tc>
        <w:tc>
          <w:tcPr>
            <w:tcW w:w="1012" w:type="dxa"/>
            <w:shd w:val="clear" w:color="auto" w:fill="auto"/>
            <w:noWrap/>
            <w:vAlign w:val="center"/>
            <w:hideMark/>
          </w:tcPr>
          <w:p w:rsidR="00357530" w:rsidRPr="00717D92" w:rsidRDefault="00521C18" w:rsidP="00BC5838">
            <w:pPr>
              <w:jc w:val="center"/>
              <w:rPr>
                <w:color w:val="000000"/>
                <w:highlight w:val="yellow"/>
              </w:rPr>
            </w:pPr>
            <w:r>
              <w:rPr>
                <w:color w:val="000000"/>
                <w:highlight w:val="yellow"/>
              </w:rPr>
              <w:t>0.2385</w:t>
            </w:r>
          </w:p>
        </w:tc>
        <w:tc>
          <w:tcPr>
            <w:tcW w:w="750" w:type="dxa"/>
            <w:shd w:val="clear" w:color="auto" w:fill="auto"/>
            <w:noWrap/>
            <w:vAlign w:val="center"/>
            <w:hideMark/>
          </w:tcPr>
          <w:p w:rsidR="00357530" w:rsidRPr="00717D92" w:rsidRDefault="00717D92" w:rsidP="00BC5838">
            <w:pPr>
              <w:jc w:val="center"/>
              <w:rPr>
                <w:color w:val="000000"/>
                <w:highlight w:val="yellow"/>
              </w:rPr>
            </w:pPr>
            <w:r>
              <w:rPr>
                <w:color w:val="000000"/>
                <w:highlight w:val="yellow"/>
              </w:rPr>
              <w:t>0.83</w:t>
            </w:r>
          </w:p>
        </w:tc>
        <w:tc>
          <w:tcPr>
            <w:tcW w:w="1140" w:type="dxa"/>
            <w:shd w:val="clear" w:color="auto" w:fill="auto"/>
            <w:noWrap/>
            <w:vAlign w:val="center"/>
            <w:hideMark/>
          </w:tcPr>
          <w:p w:rsidR="00357530" w:rsidRPr="00717D92" w:rsidRDefault="00717D92" w:rsidP="00BC5838">
            <w:pPr>
              <w:jc w:val="center"/>
              <w:rPr>
                <w:color w:val="000000"/>
                <w:highlight w:val="yellow"/>
              </w:rPr>
            </w:pPr>
            <w:r>
              <w:rPr>
                <w:color w:val="000000"/>
                <w:highlight w:val="yellow"/>
              </w:rPr>
              <w:t>0.66-1.06</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Pr>
                <w:color w:val="000000"/>
                <w:highlight w:val="yellow"/>
              </w:rPr>
              <w:t>1332</w:t>
            </w:r>
          </w:p>
        </w:tc>
      </w:tr>
      <w:tr w:rsidR="00521C18" w:rsidRPr="0019481B" w:rsidTr="0020660A">
        <w:trPr>
          <w:trHeight w:val="315"/>
        </w:trPr>
        <w:tc>
          <w:tcPr>
            <w:tcW w:w="3247" w:type="dxa"/>
            <w:shd w:val="clear" w:color="auto" w:fill="auto"/>
            <w:noWrap/>
            <w:vAlign w:val="center"/>
            <w:hideMark/>
          </w:tcPr>
          <w:p w:rsidR="00521C18" w:rsidRPr="0019481B" w:rsidRDefault="00521C18" w:rsidP="00BC5838">
            <w:pPr>
              <w:rPr>
                <w:color w:val="000000"/>
              </w:rPr>
            </w:pPr>
            <w:r w:rsidRPr="0019481B">
              <w:rPr>
                <w:color w:val="000000"/>
              </w:rPr>
              <w:t>Both</w:t>
            </w:r>
          </w:p>
        </w:tc>
        <w:tc>
          <w:tcPr>
            <w:tcW w:w="772" w:type="dxa"/>
            <w:shd w:val="clear" w:color="auto" w:fill="auto"/>
            <w:noWrap/>
            <w:vAlign w:val="center"/>
            <w:hideMark/>
          </w:tcPr>
          <w:p w:rsidR="00521C18" w:rsidRPr="00717D92" w:rsidRDefault="00521C18" w:rsidP="00BC5838">
            <w:pPr>
              <w:jc w:val="center"/>
              <w:rPr>
                <w:color w:val="000000"/>
                <w:highlight w:val="yellow"/>
              </w:rPr>
            </w:pPr>
            <w:r>
              <w:rPr>
                <w:color w:val="000000"/>
                <w:highlight w:val="yellow"/>
              </w:rPr>
              <w:t>0.91</w:t>
            </w:r>
          </w:p>
        </w:tc>
        <w:tc>
          <w:tcPr>
            <w:tcW w:w="1216" w:type="dxa"/>
            <w:shd w:val="clear" w:color="auto" w:fill="auto"/>
            <w:noWrap/>
            <w:vAlign w:val="center"/>
            <w:hideMark/>
          </w:tcPr>
          <w:p w:rsidR="00521C18" w:rsidRPr="00717D92" w:rsidRDefault="00521C18" w:rsidP="00BC5838">
            <w:pPr>
              <w:jc w:val="center"/>
              <w:rPr>
                <w:color w:val="000000"/>
                <w:highlight w:val="yellow"/>
              </w:rPr>
            </w:pPr>
            <w:r w:rsidRPr="00717D92">
              <w:rPr>
                <w:color w:val="000000"/>
                <w:highlight w:val="yellow"/>
              </w:rPr>
              <w:t>0.</w:t>
            </w:r>
            <w:r>
              <w:rPr>
                <w:color w:val="000000"/>
                <w:highlight w:val="yellow"/>
              </w:rPr>
              <w:t>87</w:t>
            </w:r>
            <w:r w:rsidRPr="00717D92">
              <w:rPr>
                <w:color w:val="000000"/>
                <w:highlight w:val="yellow"/>
              </w:rPr>
              <w:t>-</w:t>
            </w:r>
            <w:r>
              <w:rPr>
                <w:color w:val="000000"/>
                <w:highlight w:val="yellow"/>
              </w:rPr>
              <w:t>0.96</w:t>
            </w:r>
          </w:p>
        </w:tc>
        <w:tc>
          <w:tcPr>
            <w:tcW w:w="1012" w:type="dxa"/>
            <w:shd w:val="clear" w:color="auto" w:fill="auto"/>
            <w:noWrap/>
            <w:vAlign w:val="center"/>
            <w:hideMark/>
          </w:tcPr>
          <w:p w:rsidR="00521C18" w:rsidRPr="00717D92" w:rsidRDefault="00521C18" w:rsidP="00BC5838">
            <w:pPr>
              <w:jc w:val="center"/>
              <w:rPr>
                <w:color w:val="000000"/>
                <w:highlight w:val="yellow"/>
              </w:rPr>
            </w:pPr>
            <w:r>
              <w:rPr>
                <w:color w:val="000000"/>
                <w:highlight w:val="yellow"/>
              </w:rPr>
              <w:t>0.0002</w:t>
            </w:r>
          </w:p>
        </w:tc>
        <w:tc>
          <w:tcPr>
            <w:tcW w:w="750" w:type="dxa"/>
            <w:shd w:val="clear" w:color="auto" w:fill="auto"/>
            <w:noWrap/>
            <w:vAlign w:val="center"/>
            <w:hideMark/>
          </w:tcPr>
          <w:p w:rsidR="00521C18" w:rsidRPr="00717D92" w:rsidRDefault="00521C18" w:rsidP="00BC5838">
            <w:pPr>
              <w:jc w:val="center"/>
              <w:rPr>
                <w:color w:val="000000"/>
                <w:highlight w:val="yellow"/>
              </w:rPr>
            </w:pPr>
            <w:r w:rsidRPr="00717D92">
              <w:rPr>
                <w:color w:val="000000"/>
                <w:highlight w:val="yellow"/>
              </w:rPr>
              <w:t>0.</w:t>
            </w:r>
            <w:r>
              <w:rPr>
                <w:color w:val="000000"/>
                <w:highlight w:val="yellow"/>
              </w:rPr>
              <w:t>78</w:t>
            </w:r>
          </w:p>
        </w:tc>
        <w:tc>
          <w:tcPr>
            <w:tcW w:w="1140" w:type="dxa"/>
            <w:shd w:val="clear" w:color="auto" w:fill="auto"/>
            <w:noWrap/>
            <w:vAlign w:val="center"/>
            <w:hideMark/>
          </w:tcPr>
          <w:p w:rsidR="00521C18" w:rsidRPr="00717D92" w:rsidRDefault="00521C18" w:rsidP="00BC5838">
            <w:pPr>
              <w:jc w:val="center"/>
              <w:rPr>
                <w:color w:val="000000"/>
                <w:highlight w:val="yellow"/>
              </w:rPr>
            </w:pPr>
            <w:r w:rsidRPr="00717D92">
              <w:rPr>
                <w:color w:val="000000"/>
                <w:highlight w:val="yellow"/>
              </w:rPr>
              <w:t>0.</w:t>
            </w:r>
            <w:r>
              <w:rPr>
                <w:color w:val="000000"/>
                <w:highlight w:val="yellow"/>
              </w:rPr>
              <w:t>61-1.00</w:t>
            </w:r>
          </w:p>
        </w:tc>
        <w:tc>
          <w:tcPr>
            <w:tcW w:w="990" w:type="dxa"/>
            <w:shd w:val="clear" w:color="auto" w:fill="auto"/>
            <w:noWrap/>
            <w:vAlign w:val="center"/>
            <w:hideMark/>
          </w:tcPr>
          <w:p w:rsidR="00521C18" w:rsidRPr="00717D92" w:rsidRDefault="00521C18" w:rsidP="00BC5838">
            <w:pPr>
              <w:jc w:val="center"/>
              <w:rPr>
                <w:color w:val="000000"/>
                <w:highlight w:val="yellow"/>
              </w:rPr>
            </w:pPr>
            <w:r w:rsidRPr="00717D92">
              <w:rPr>
                <w:color w:val="000000"/>
                <w:highlight w:val="yellow"/>
              </w:rPr>
              <w:t>0.</w:t>
            </w:r>
            <w:r>
              <w:rPr>
                <w:color w:val="000000"/>
                <w:highlight w:val="yellow"/>
              </w:rPr>
              <w:t>0472</w:t>
            </w:r>
          </w:p>
        </w:tc>
      </w:tr>
      <w:tr w:rsidR="00357530" w:rsidRPr="0019481B" w:rsidTr="0020660A">
        <w:trPr>
          <w:trHeight w:val="315"/>
        </w:trPr>
        <w:tc>
          <w:tcPr>
            <w:tcW w:w="3247" w:type="dxa"/>
            <w:tcBorders>
              <w:bottom w:val="single" w:sz="4" w:space="0" w:color="auto"/>
            </w:tcBorders>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tcBorders>
              <w:bottom w:val="single" w:sz="4" w:space="0" w:color="auto"/>
            </w:tcBorders>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Ref</w:t>
            </w:r>
          </w:p>
        </w:tc>
        <w:tc>
          <w:tcPr>
            <w:tcW w:w="1216" w:type="dxa"/>
            <w:tcBorders>
              <w:bottom w:val="single" w:sz="4" w:space="0" w:color="auto"/>
            </w:tcBorders>
            <w:shd w:val="clear" w:color="auto" w:fill="auto"/>
            <w:noWrap/>
            <w:vAlign w:val="bottom"/>
            <w:hideMark/>
          </w:tcPr>
          <w:p w:rsidR="00357530" w:rsidRPr="00717D92" w:rsidRDefault="00357530" w:rsidP="00BC5838">
            <w:pPr>
              <w:jc w:val="center"/>
              <w:rPr>
                <w:rFonts w:ascii="Calibri" w:hAnsi="Calibri" w:cs="Calibri"/>
                <w:color w:val="000000"/>
                <w:highlight w:val="yellow"/>
              </w:rPr>
            </w:pPr>
            <w:r w:rsidRPr="00717D92">
              <w:rPr>
                <w:rFonts w:ascii="Calibri" w:hAnsi="Calibri" w:cs="Calibri"/>
                <w:color w:val="000000"/>
                <w:sz w:val="22"/>
                <w:szCs w:val="22"/>
                <w:highlight w:val="yellow"/>
              </w:rPr>
              <w:t> </w:t>
            </w:r>
          </w:p>
        </w:tc>
        <w:tc>
          <w:tcPr>
            <w:tcW w:w="1012" w:type="dxa"/>
            <w:tcBorders>
              <w:bottom w:val="single" w:sz="4" w:space="0" w:color="auto"/>
            </w:tcBorders>
            <w:shd w:val="clear" w:color="auto" w:fill="auto"/>
            <w:noWrap/>
            <w:vAlign w:val="bottom"/>
            <w:hideMark/>
          </w:tcPr>
          <w:p w:rsidR="00357530" w:rsidRPr="00717D92" w:rsidRDefault="00357530" w:rsidP="00BC5838">
            <w:pPr>
              <w:jc w:val="center"/>
              <w:rPr>
                <w:rFonts w:ascii="Calibri" w:hAnsi="Calibri" w:cs="Calibri"/>
                <w:color w:val="000000"/>
                <w:highlight w:val="yellow"/>
              </w:rPr>
            </w:pPr>
            <w:r w:rsidRPr="00717D92">
              <w:rPr>
                <w:rFonts w:ascii="Calibri" w:hAnsi="Calibri" w:cs="Calibri"/>
                <w:color w:val="000000"/>
                <w:sz w:val="22"/>
                <w:szCs w:val="22"/>
                <w:highlight w:val="yellow"/>
              </w:rPr>
              <w:t> </w:t>
            </w:r>
          </w:p>
        </w:tc>
        <w:tc>
          <w:tcPr>
            <w:tcW w:w="750" w:type="dxa"/>
            <w:tcBorders>
              <w:bottom w:val="single" w:sz="4" w:space="0" w:color="auto"/>
            </w:tcBorders>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Ref</w:t>
            </w:r>
          </w:p>
        </w:tc>
        <w:tc>
          <w:tcPr>
            <w:tcW w:w="1140" w:type="dxa"/>
            <w:tcBorders>
              <w:bottom w:val="single" w:sz="4" w:space="0" w:color="auto"/>
            </w:tcBorders>
            <w:shd w:val="clear" w:color="auto" w:fill="auto"/>
            <w:noWrap/>
            <w:vAlign w:val="bottom"/>
            <w:hideMark/>
          </w:tcPr>
          <w:p w:rsidR="00357530" w:rsidRPr="00717D92" w:rsidRDefault="00357530" w:rsidP="00BC5838">
            <w:pPr>
              <w:jc w:val="center"/>
              <w:rPr>
                <w:rFonts w:ascii="Calibri" w:hAnsi="Calibri" w:cs="Calibri"/>
                <w:color w:val="000000"/>
                <w:highlight w:val="yellow"/>
              </w:rPr>
            </w:pPr>
            <w:r w:rsidRPr="00717D92">
              <w:rPr>
                <w:rFonts w:ascii="Calibri" w:hAnsi="Calibri" w:cs="Calibri"/>
                <w:color w:val="000000"/>
                <w:sz w:val="22"/>
                <w:szCs w:val="22"/>
                <w:highlight w:val="yellow"/>
              </w:rPr>
              <w:t> </w:t>
            </w:r>
          </w:p>
        </w:tc>
        <w:tc>
          <w:tcPr>
            <w:tcW w:w="990" w:type="dxa"/>
            <w:tcBorders>
              <w:bottom w:val="single" w:sz="4" w:space="0" w:color="auto"/>
            </w:tcBorders>
            <w:shd w:val="clear" w:color="auto" w:fill="auto"/>
            <w:noWrap/>
            <w:vAlign w:val="bottom"/>
            <w:hideMark/>
          </w:tcPr>
          <w:p w:rsidR="00357530" w:rsidRPr="00717D92" w:rsidRDefault="00357530" w:rsidP="00BC5838">
            <w:pPr>
              <w:jc w:val="center"/>
              <w:rPr>
                <w:rFonts w:ascii="Calibri" w:hAnsi="Calibri" w:cs="Calibri"/>
                <w:color w:val="000000"/>
                <w:highlight w:val="yellow"/>
              </w:rPr>
            </w:pPr>
            <w:r w:rsidRPr="00717D92">
              <w:rPr>
                <w:rFonts w:ascii="Calibri" w:hAnsi="Calibri" w:cs="Calibri"/>
                <w:color w:val="000000"/>
                <w:sz w:val="22"/>
                <w:szCs w:val="22"/>
                <w:highlight w:val="yellow"/>
              </w:rPr>
              <w:t> </w:t>
            </w:r>
          </w:p>
        </w:tc>
      </w:tr>
      <w:tr w:rsidR="00357530" w:rsidRPr="0019481B" w:rsidTr="0020660A">
        <w:trPr>
          <w:trHeight w:val="315"/>
        </w:trPr>
        <w:tc>
          <w:tcPr>
            <w:tcW w:w="5235" w:type="dxa"/>
            <w:gridSpan w:val="3"/>
            <w:tcBorders>
              <w:top w:val="single" w:sz="4" w:space="0" w:color="auto"/>
            </w:tcBorders>
            <w:shd w:val="clear" w:color="auto" w:fill="auto"/>
            <w:noWrap/>
            <w:vAlign w:val="center"/>
            <w:hideMark/>
          </w:tcPr>
          <w:p w:rsidR="00357530" w:rsidRPr="0019481B" w:rsidRDefault="00357530" w:rsidP="00BC5838">
            <w:pPr>
              <w:rPr>
                <w:b/>
                <w:bCs/>
                <w:color w:val="000000"/>
              </w:rPr>
            </w:pPr>
            <w:r w:rsidRPr="0019481B">
              <w:rPr>
                <w:b/>
                <w:bCs/>
                <w:color w:val="000000"/>
              </w:rPr>
              <w:t>SA 2: Excluding zero nights admission (n=6678)</w:t>
            </w:r>
          </w:p>
        </w:tc>
        <w:tc>
          <w:tcPr>
            <w:tcW w:w="1012" w:type="dxa"/>
            <w:tcBorders>
              <w:top w:val="single" w:sz="4" w:space="0" w:color="auto"/>
            </w:tcBorders>
            <w:shd w:val="clear" w:color="auto" w:fill="auto"/>
            <w:noWrap/>
            <w:vAlign w:val="center"/>
            <w:hideMark/>
          </w:tcPr>
          <w:p w:rsidR="00357530" w:rsidRPr="0019481B" w:rsidRDefault="00357530" w:rsidP="00BC5838">
            <w:pPr>
              <w:jc w:val="center"/>
              <w:rPr>
                <w:b/>
                <w:bCs/>
                <w:color w:val="000000"/>
              </w:rPr>
            </w:pPr>
          </w:p>
        </w:tc>
        <w:tc>
          <w:tcPr>
            <w:tcW w:w="750" w:type="dxa"/>
            <w:tcBorders>
              <w:top w:val="single" w:sz="4" w:space="0" w:color="auto"/>
            </w:tcBorders>
            <w:shd w:val="clear" w:color="auto" w:fill="auto"/>
            <w:noWrap/>
            <w:vAlign w:val="center"/>
            <w:hideMark/>
          </w:tcPr>
          <w:p w:rsidR="00357530" w:rsidRPr="0019481B" w:rsidRDefault="00357530" w:rsidP="00BC5838">
            <w:pPr>
              <w:jc w:val="center"/>
              <w:rPr>
                <w:color w:val="000000"/>
              </w:rPr>
            </w:pPr>
          </w:p>
        </w:tc>
        <w:tc>
          <w:tcPr>
            <w:tcW w:w="1140" w:type="dxa"/>
            <w:tcBorders>
              <w:top w:val="single" w:sz="4" w:space="0" w:color="auto"/>
            </w:tcBorders>
            <w:shd w:val="clear" w:color="auto" w:fill="auto"/>
            <w:noWrap/>
            <w:vAlign w:val="center"/>
            <w:hideMark/>
          </w:tcPr>
          <w:p w:rsidR="00357530" w:rsidRPr="0019481B" w:rsidRDefault="00357530" w:rsidP="00BC5838">
            <w:pPr>
              <w:jc w:val="center"/>
              <w:rPr>
                <w:color w:val="000000"/>
              </w:rPr>
            </w:pPr>
          </w:p>
        </w:tc>
        <w:tc>
          <w:tcPr>
            <w:tcW w:w="990" w:type="dxa"/>
            <w:tcBorders>
              <w:top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 </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PV in previous 5 Years</w:t>
            </w:r>
          </w:p>
        </w:tc>
        <w:tc>
          <w:tcPr>
            <w:tcW w:w="772" w:type="dxa"/>
            <w:shd w:val="clear" w:color="auto" w:fill="auto"/>
            <w:noWrap/>
            <w:vAlign w:val="center"/>
            <w:hideMark/>
          </w:tcPr>
          <w:p w:rsidR="00357530" w:rsidRPr="00521C18" w:rsidRDefault="00521C18" w:rsidP="00BC5838">
            <w:pPr>
              <w:jc w:val="center"/>
              <w:rPr>
                <w:color w:val="000000"/>
                <w:highlight w:val="yellow"/>
              </w:rPr>
            </w:pPr>
            <w:r w:rsidRPr="00521C18">
              <w:rPr>
                <w:color w:val="000000"/>
                <w:highlight w:val="yellow"/>
              </w:rPr>
              <w:t>1.03</w:t>
            </w:r>
          </w:p>
        </w:tc>
        <w:tc>
          <w:tcPr>
            <w:tcW w:w="1216" w:type="dxa"/>
            <w:shd w:val="clear" w:color="auto" w:fill="auto"/>
            <w:noWrap/>
            <w:vAlign w:val="center"/>
            <w:hideMark/>
          </w:tcPr>
          <w:p w:rsidR="00357530" w:rsidRPr="00521C18" w:rsidRDefault="00357530" w:rsidP="00BC5838">
            <w:pPr>
              <w:jc w:val="center"/>
              <w:rPr>
                <w:color w:val="000000"/>
                <w:highlight w:val="yellow"/>
              </w:rPr>
            </w:pPr>
            <w:r w:rsidRPr="00521C18">
              <w:rPr>
                <w:color w:val="000000"/>
                <w:highlight w:val="yellow"/>
              </w:rPr>
              <w:t>0.9</w:t>
            </w:r>
            <w:r w:rsidR="00521C18" w:rsidRPr="00521C18">
              <w:rPr>
                <w:color w:val="000000"/>
                <w:highlight w:val="yellow"/>
              </w:rPr>
              <w:t>7</w:t>
            </w:r>
            <w:r w:rsidRPr="00521C18">
              <w:rPr>
                <w:color w:val="000000"/>
                <w:highlight w:val="yellow"/>
              </w:rPr>
              <w:t>-1.0</w:t>
            </w:r>
            <w:r w:rsidR="00521C18" w:rsidRPr="00521C18">
              <w:rPr>
                <w:color w:val="000000"/>
                <w:highlight w:val="yellow"/>
              </w:rPr>
              <w:t>8</w:t>
            </w:r>
          </w:p>
        </w:tc>
        <w:tc>
          <w:tcPr>
            <w:tcW w:w="1012" w:type="dxa"/>
            <w:shd w:val="clear" w:color="auto" w:fill="auto"/>
            <w:noWrap/>
            <w:vAlign w:val="center"/>
            <w:hideMark/>
          </w:tcPr>
          <w:p w:rsidR="00357530" w:rsidRPr="00521C18" w:rsidRDefault="00357530" w:rsidP="00BC5838">
            <w:pPr>
              <w:jc w:val="center"/>
              <w:rPr>
                <w:color w:val="000000"/>
                <w:highlight w:val="yellow"/>
              </w:rPr>
            </w:pPr>
            <w:r w:rsidRPr="00521C18">
              <w:rPr>
                <w:color w:val="000000"/>
                <w:highlight w:val="yellow"/>
              </w:rPr>
              <w:t>0.</w:t>
            </w:r>
            <w:r w:rsidR="00521C18" w:rsidRPr="00521C18">
              <w:rPr>
                <w:color w:val="000000"/>
                <w:highlight w:val="yellow"/>
              </w:rPr>
              <w:t>3347</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1.12</w:t>
            </w:r>
          </w:p>
        </w:tc>
        <w:tc>
          <w:tcPr>
            <w:tcW w:w="114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0.85-1.47</w:t>
            </w:r>
          </w:p>
        </w:tc>
        <w:tc>
          <w:tcPr>
            <w:tcW w:w="99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0.4224</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FV last year</w:t>
            </w:r>
          </w:p>
        </w:tc>
        <w:tc>
          <w:tcPr>
            <w:tcW w:w="772" w:type="dxa"/>
            <w:shd w:val="clear" w:color="auto" w:fill="auto"/>
            <w:noWrap/>
            <w:vAlign w:val="center"/>
            <w:hideMark/>
          </w:tcPr>
          <w:p w:rsidR="00357530" w:rsidRPr="00521C18" w:rsidRDefault="00521C18" w:rsidP="00BC5838">
            <w:pPr>
              <w:rPr>
                <w:color w:val="000000"/>
                <w:highlight w:val="yellow"/>
              </w:rPr>
            </w:pPr>
            <w:r w:rsidRPr="00521C18">
              <w:rPr>
                <w:color w:val="000000"/>
                <w:highlight w:val="yellow"/>
              </w:rPr>
              <w:t xml:space="preserve"> 0.97</w:t>
            </w:r>
          </w:p>
        </w:tc>
        <w:tc>
          <w:tcPr>
            <w:tcW w:w="1216" w:type="dxa"/>
            <w:shd w:val="clear" w:color="auto" w:fill="auto"/>
            <w:noWrap/>
            <w:vAlign w:val="center"/>
            <w:hideMark/>
          </w:tcPr>
          <w:p w:rsidR="00357530" w:rsidRPr="00521C18" w:rsidRDefault="00521C18" w:rsidP="00BC5838">
            <w:pPr>
              <w:rPr>
                <w:color w:val="000000"/>
                <w:highlight w:val="yellow"/>
              </w:rPr>
            </w:pPr>
            <w:r w:rsidRPr="00521C18">
              <w:rPr>
                <w:color w:val="000000"/>
                <w:highlight w:val="yellow"/>
              </w:rPr>
              <w:t xml:space="preserve"> 0.92-1.02</w:t>
            </w:r>
          </w:p>
        </w:tc>
        <w:tc>
          <w:tcPr>
            <w:tcW w:w="1012" w:type="dxa"/>
            <w:shd w:val="clear" w:color="auto" w:fill="auto"/>
            <w:noWrap/>
            <w:vAlign w:val="center"/>
            <w:hideMark/>
          </w:tcPr>
          <w:p w:rsidR="00357530" w:rsidRPr="00521C18" w:rsidRDefault="00357530" w:rsidP="00BC5838">
            <w:pPr>
              <w:jc w:val="center"/>
              <w:rPr>
                <w:color w:val="000000"/>
                <w:highlight w:val="yellow"/>
              </w:rPr>
            </w:pPr>
            <w:r w:rsidRPr="00521C18">
              <w:rPr>
                <w:color w:val="000000"/>
                <w:highlight w:val="yellow"/>
              </w:rPr>
              <w:t>0.</w:t>
            </w:r>
            <w:r w:rsidR="0020660A">
              <w:rPr>
                <w:color w:val="000000"/>
                <w:highlight w:val="yellow"/>
              </w:rPr>
              <w:t>2115</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0.86</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0.6</w:t>
            </w:r>
            <w:r w:rsidR="00717D92" w:rsidRPr="00717D92">
              <w:rPr>
                <w:color w:val="000000"/>
                <w:highlight w:val="yellow"/>
              </w:rPr>
              <w:t>5-1.12</w:t>
            </w:r>
          </w:p>
        </w:tc>
        <w:tc>
          <w:tcPr>
            <w:tcW w:w="99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0.2555</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Both</w:t>
            </w:r>
          </w:p>
        </w:tc>
        <w:tc>
          <w:tcPr>
            <w:tcW w:w="772" w:type="dxa"/>
            <w:shd w:val="clear" w:color="auto" w:fill="auto"/>
            <w:noWrap/>
            <w:vAlign w:val="center"/>
            <w:hideMark/>
          </w:tcPr>
          <w:p w:rsidR="00357530" w:rsidRPr="00521C18" w:rsidRDefault="00521C18" w:rsidP="00BC5838">
            <w:pPr>
              <w:jc w:val="center"/>
              <w:rPr>
                <w:color w:val="000000"/>
                <w:highlight w:val="yellow"/>
              </w:rPr>
            </w:pPr>
            <w:r w:rsidRPr="00521C18">
              <w:rPr>
                <w:color w:val="000000"/>
                <w:highlight w:val="yellow"/>
              </w:rPr>
              <w:t>0.90</w:t>
            </w:r>
          </w:p>
        </w:tc>
        <w:tc>
          <w:tcPr>
            <w:tcW w:w="1216" w:type="dxa"/>
            <w:shd w:val="clear" w:color="auto" w:fill="auto"/>
            <w:noWrap/>
            <w:vAlign w:val="center"/>
            <w:hideMark/>
          </w:tcPr>
          <w:p w:rsidR="00357530" w:rsidRPr="00521C18" w:rsidRDefault="00521C18" w:rsidP="00BC5838">
            <w:pPr>
              <w:jc w:val="center"/>
              <w:rPr>
                <w:color w:val="000000"/>
                <w:highlight w:val="yellow"/>
              </w:rPr>
            </w:pPr>
            <w:r w:rsidRPr="00521C18">
              <w:rPr>
                <w:color w:val="000000"/>
                <w:highlight w:val="yellow"/>
              </w:rPr>
              <w:t>0.86</w:t>
            </w:r>
            <w:r w:rsidR="00357530" w:rsidRPr="00521C18">
              <w:rPr>
                <w:color w:val="000000"/>
                <w:highlight w:val="yellow"/>
              </w:rPr>
              <w:t>-</w:t>
            </w:r>
            <w:r w:rsidRPr="00521C18">
              <w:rPr>
                <w:color w:val="000000"/>
                <w:highlight w:val="yellow"/>
              </w:rPr>
              <w:t>0.95</w:t>
            </w:r>
          </w:p>
        </w:tc>
        <w:tc>
          <w:tcPr>
            <w:tcW w:w="1012" w:type="dxa"/>
            <w:shd w:val="clear" w:color="auto" w:fill="auto"/>
            <w:noWrap/>
            <w:vAlign w:val="center"/>
            <w:hideMark/>
          </w:tcPr>
          <w:p w:rsidR="00357530" w:rsidRPr="00521C18" w:rsidRDefault="00521C18" w:rsidP="00BC5838">
            <w:pPr>
              <w:jc w:val="center"/>
              <w:rPr>
                <w:color w:val="000000"/>
                <w:highlight w:val="yellow"/>
              </w:rPr>
            </w:pPr>
            <w:r w:rsidRPr="00521C18">
              <w:rPr>
                <w:color w:val="000000"/>
                <w:highlight w:val="yellow"/>
              </w:rPr>
              <w:t>&lt;0.0001</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0.86</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65-1.13</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2811</w:t>
            </w:r>
          </w:p>
        </w:tc>
      </w:tr>
      <w:tr w:rsidR="00357530" w:rsidRPr="0019481B" w:rsidTr="0020660A">
        <w:trPr>
          <w:trHeight w:val="315"/>
        </w:trPr>
        <w:tc>
          <w:tcPr>
            <w:tcW w:w="3247" w:type="dxa"/>
            <w:tcBorders>
              <w:bottom w:val="single" w:sz="4" w:space="0" w:color="auto"/>
            </w:tcBorders>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1012"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750"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99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9127" w:type="dxa"/>
            <w:gridSpan w:val="7"/>
            <w:tcBorders>
              <w:top w:val="single" w:sz="4" w:space="0" w:color="auto"/>
            </w:tcBorders>
            <w:shd w:val="clear" w:color="auto" w:fill="auto"/>
            <w:noWrap/>
            <w:vAlign w:val="center"/>
            <w:hideMark/>
          </w:tcPr>
          <w:p w:rsidR="00357530" w:rsidRPr="0019481B" w:rsidRDefault="00357530" w:rsidP="00BC5838">
            <w:pPr>
              <w:rPr>
                <w:b/>
                <w:bCs/>
                <w:color w:val="000000"/>
              </w:rPr>
            </w:pPr>
            <w:r w:rsidRPr="0019481B">
              <w:rPr>
                <w:b/>
                <w:bCs/>
                <w:color w:val="000000"/>
              </w:rPr>
              <w:t>SA 3: Varying the number of VA outpatient visits each year in previous 5 years required for patient selection   </w:t>
            </w:r>
          </w:p>
        </w:tc>
      </w:tr>
      <w:tr w:rsidR="00357530" w:rsidRPr="0019481B" w:rsidTr="0020660A">
        <w:trPr>
          <w:trHeight w:val="315"/>
        </w:trPr>
        <w:tc>
          <w:tcPr>
            <w:tcW w:w="5235" w:type="dxa"/>
            <w:gridSpan w:val="3"/>
            <w:shd w:val="clear" w:color="auto" w:fill="auto"/>
            <w:noWrap/>
            <w:vAlign w:val="center"/>
            <w:hideMark/>
          </w:tcPr>
          <w:p w:rsidR="00357530" w:rsidRPr="0019481B" w:rsidRDefault="00357530" w:rsidP="00BC5838">
            <w:pPr>
              <w:rPr>
                <w:b/>
                <w:bCs/>
                <w:i/>
                <w:iCs/>
                <w:color w:val="000000"/>
              </w:rPr>
            </w:pPr>
            <w:r w:rsidRPr="0019481B">
              <w:rPr>
                <w:b/>
                <w:bCs/>
                <w:i/>
                <w:iCs/>
                <w:color w:val="000000"/>
              </w:rPr>
              <w:t>&gt;=1 OP visit ea</w:t>
            </w:r>
            <w:r>
              <w:rPr>
                <w:b/>
                <w:bCs/>
                <w:i/>
                <w:iCs/>
                <w:color w:val="000000"/>
              </w:rPr>
              <w:t>ch year (main analysis, n=6723)</w:t>
            </w:r>
          </w:p>
        </w:tc>
        <w:tc>
          <w:tcPr>
            <w:tcW w:w="1012" w:type="dxa"/>
            <w:shd w:val="clear" w:color="auto" w:fill="auto"/>
            <w:noWrap/>
            <w:vAlign w:val="center"/>
            <w:hideMark/>
          </w:tcPr>
          <w:p w:rsidR="00357530" w:rsidRPr="0019481B" w:rsidRDefault="00357530" w:rsidP="00BC5838">
            <w:pPr>
              <w:jc w:val="center"/>
              <w:rPr>
                <w:b/>
                <w:bCs/>
                <w:i/>
                <w:iCs/>
                <w:color w:val="000000"/>
              </w:rPr>
            </w:pPr>
          </w:p>
        </w:tc>
        <w:tc>
          <w:tcPr>
            <w:tcW w:w="75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4019" w:type="dxa"/>
            <w:gridSpan w:val="2"/>
            <w:shd w:val="clear" w:color="auto" w:fill="auto"/>
            <w:noWrap/>
            <w:vAlign w:val="center"/>
            <w:hideMark/>
          </w:tcPr>
          <w:p w:rsidR="00357530" w:rsidRPr="0019481B" w:rsidRDefault="00357530" w:rsidP="00BC5838">
            <w:pPr>
              <w:rPr>
                <w:b/>
                <w:bCs/>
                <w:color w:val="000000"/>
              </w:rPr>
            </w:pPr>
            <w:r w:rsidRPr="0019481B">
              <w:rPr>
                <w:b/>
                <w:bCs/>
                <w:color w:val="000000"/>
              </w:rPr>
              <w:t>&gt;=2 OP visit each year (n=6400)</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PV in previous 5 Years</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1.03</w:t>
            </w:r>
          </w:p>
        </w:tc>
        <w:tc>
          <w:tcPr>
            <w:tcW w:w="1216"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0.9</w:t>
            </w:r>
            <w:r w:rsidR="0020660A" w:rsidRPr="0020660A">
              <w:rPr>
                <w:color w:val="000000"/>
                <w:highlight w:val="yellow"/>
              </w:rPr>
              <w:t>8-1.09</w:t>
            </w:r>
          </w:p>
        </w:tc>
        <w:tc>
          <w:tcPr>
            <w:tcW w:w="101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0.2</w:t>
            </w:r>
            <w:r>
              <w:rPr>
                <w:color w:val="000000"/>
                <w:highlight w:val="yellow"/>
              </w:rPr>
              <w:t>818</w:t>
            </w:r>
          </w:p>
        </w:tc>
        <w:tc>
          <w:tcPr>
            <w:tcW w:w="75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1.1</w:t>
            </w:r>
            <w:r w:rsidR="00717D92" w:rsidRPr="00717D92">
              <w:rPr>
                <w:color w:val="000000"/>
                <w:highlight w:val="yellow"/>
              </w:rPr>
              <w:t>3</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.86</w:t>
            </w:r>
            <w:r w:rsidRPr="00717D92">
              <w:rPr>
                <w:color w:val="000000"/>
                <w:highlight w:val="yellow"/>
              </w:rPr>
              <w:t>-1.4</w:t>
            </w:r>
            <w:r w:rsidR="00717D92" w:rsidRPr="00717D92">
              <w:rPr>
                <w:color w:val="000000"/>
                <w:highlight w:val="yellow"/>
              </w:rPr>
              <w:t>8</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3938</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FV last year</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0.98</w:t>
            </w:r>
          </w:p>
        </w:tc>
        <w:tc>
          <w:tcPr>
            <w:tcW w:w="1216"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0.9</w:t>
            </w:r>
            <w:r w:rsidR="0020660A" w:rsidRPr="0020660A">
              <w:rPr>
                <w:color w:val="000000"/>
                <w:highlight w:val="yellow"/>
              </w:rPr>
              <w:t>3</w:t>
            </w:r>
            <w:r w:rsidRPr="0020660A">
              <w:rPr>
                <w:color w:val="000000"/>
                <w:highlight w:val="yellow"/>
              </w:rPr>
              <w:t>-1.</w:t>
            </w:r>
            <w:r w:rsidR="0020660A" w:rsidRPr="0020660A">
              <w:rPr>
                <w:color w:val="000000"/>
                <w:highlight w:val="yellow"/>
              </w:rPr>
              <w:t>0</w:t>
            </w:r>
            <w:r w:rsidR="0020660A">
              <w:rPr>
                <w:color w:val="000000"/>
                <w:highlight w:val="yellow"/>
              </w:rPr>
              <w:t>3</w:t>
            </w:r>
          </w:p>
        </w:tc>
        <w:tc>
          <w:tcPr>
            <w:tcW w:w="1012"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0.4</w:t>
            </w:r>
            <w:r w:rsidR="0020660A">
              <w:rPr>
                <w:color w:val="000000"/>
                <w:highlight w:val="yellow"/>
              </w:rPr>
              <w:t>819</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0.88</w:t>
            </w:r>
          </w:p>
        </w:tc>
        <w:tc>
          <w:tcPr>
            <w:tcW w:w="114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0.67-1.16</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3566</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Both</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w:t>
            </w:r>
            <w:r w:rsidR="00357530" w:rsidRPr="0020660A">
              <w:rPr>
                <w:color w:val="000000"/>
                <w:highlight w:val="yellow"/>
              </w:rPr>
              <w:t>9</w:t>
            </w:r>
            <w:r w:rsidRPr="0020660A">
              <w:rPr>
                <w:color w:val="000000"/>
                <w:highlight w:val="yellow"/>
              </w:rPr>
              <w:t>1</w:t>
            </w:r>
          </w:p>
        </w:tc>
        <w:tc>
          <w:tcPr>
            <w:tcW w:w="1216" w:type="dxa"/>
            <w:shd w:val="clear" w:color="auto" w:fill="auto"/>
            <w:noWrap/>
            <w:vAlign w:val="center"/>
            <w:hideMark/>
          </w:tcPr>
          <w:p w:rsidR="00357530" w:rsidRPr="0020660A" w:rsidRDefault="0020660A" w:rsidP="00BC5838">
            <w:pPr>
              <w:jc w:val="center"/>
              <w:rPr>
                <w:color w:val="000000"/>
                <w:highlight w:val="yellow"/>
              </w:rPr>
            </w:pPr>
            <w:r>
              <w:rPr>
                <w:color w:val="000000"/>
                <w:highlight w:val="yellow"/>
              </w:rPr>
              <w:t>0.87</w:t>
            </w:r>
            <w:r w:rsidR="00357530" w:rsidRPr="0020660A">
              <w:rPr>
                <w:color w:val="000000"/>
                <w:highlight w:val="yellow"/>
              </w:rPr>
              <w:t>-</w:t>
            </w:r>
            <w:r w:rsidRPr="0020660A">
              <w:rPr>
                <w:color w:val="000000"/>
                <w:highlight w:val="yellow"/>
              </w:rPr>
              <w:t>0.96</w:t>
            </w:r>
          </w:p>
        </w:tc>
        <w:tc>
          <w:tcPr>
            <w:tcW w:w="1012"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0.0</w:t>
            </w:r>
            <w:r w:rsidR="0020660A" w:rsidRPr="0020660A">
              <w:rPr>
                <w:color w:val="000000"/>
                <w:highlight w:val="yellow"/>
              </w:rPr>
              <w:t>0</w:t>
            </w:r>
            <w:r w:rsidR="0020660A">
              <w:rPr>
                <w:color w:val="000000"/>
                <w:highlight w:val="yellow"/>
              </w:rPr>
              <w:t>05</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0.88</w:t>
            </w:r>
          </w:p>
        </w:tc>
        <w:tc>
          <w:tcPr>
            <w:tcW w:w="114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0.66</w:t>
            </w:r>
            <w:r w:rsidR="00357530" w:rsidRPr="00717D92">
              <w:rPr>
                <w:color w:val="000000"/>
                <w:highlight w:val="yellow"/>
              </w:rPr>
              <w:t>-1.</w:t>
            </w:r>
            <w:r w:rsidRPr="00717D92">
              <w:rPr>
                <w:color w:val="000000"/>
                <w:highlight w:val="yellow"/>
              </w:rPr>
              <w:t>15</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34</w:t>
            </w:r>
            <w:r w:rsidRPr="00717D92">
              <w:rPr>
                <w:color w:val="000000"/>
                <w:highlight w:val="yellow"/>
              </w:rPr>
              <w:t>5</w:t>
            </w:r>
            <w:r w:rsidR="00717D92" w:rsidRPr="00717D92">
              <w:rPr>
                <w:color w:val="000000"/>
                <w:highlight w:val="yellow"/>
              </w:rPr>
              <w:t>0</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4019" w:type="dxa"/>
            <w:gridSpan w:val="2"/>
            <w:shd w:val="clear" w:color="auto" w:fill="auto"/>
            <w:noWrap/>
            <w:vAlign w:val="center"/>
            <w:hideMark/>
          </w:tcPr>
          <w:p w:rsidR="00357530" w:rsidRPr="0019481B" w:rsidRDefault="00357530" w:rsidP="00BC5838">
            <w:pPr>
              <w:rPr>
                <w:b/>
                <w:bCs/>
                <w:color w:val="000000"/>
              </w:rPr>
            </w:pPr>
            <w:r w:rsidRPr="0019481B">
              <w:rPr>
                <w:b/>
                <w:bCs/>
                <w:color w:val="000000"/>
              </w:rPr>
              <w:t>&gt;=3 OP visit each year (n=6013)</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20660A" w:rsidRPr="00717D92"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PV in previous 5 Years</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1.03</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0.98-1.09</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0.2500</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1.15</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0.87-1.54</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0.3337</w:t>
            </w:r>
          </w:p>
        </w:tc>
      </w:tr>
      <w:tr w:rsidR="0020660A" w:rsidRPr="00717D92"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FV last year</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0.98</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0.93-1.04</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0.5450</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0.90</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0.68-1.19</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0.4498</w:t>
            </w:r>
          </w:p>
        </w:tc>
      </w:tr>
      <w:tr w:rsidR="0020660A" w:rsidRPr="00717D92"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Both</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0.91</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0.86-0.96</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0.0010</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0.90</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0.68-1.20</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0.4657</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4019" w:type="dxa"/>
            <w:gridSpan w:val="2"/>
            <w:shd w:val="clear" w:color="auto" w:fill="auto"/>
            <w:noWrap/>
            <w:vAlign w:val="center"/>
            <w:hideMark/>
          </w:tcPr>
          <w:p w:rsidR="00357530" w:rsidRPr="0019481B" w:rsidRDefault="00357530" w:rsidP="00BC5838">
            <w:pPr>
              <w:rPr>
                <w:b/>
                <w:bCs/>
                <w:color w:val="000000"/>
              </w:rPr>
            </w:pPr>
            <w:r w:rsidRPr="0019481B">
              <w:rPr>
                <w:b/>
                <w:bCs/>
                <w:color w:val="000000"/>
              </w:rPr>
              <w:t>&gt;=4 OP visit each year (n=5607)</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PV in previous 5 Years</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1.05</w:t>
            </w:r>
          </w:p>
        </w:tc>
        <w:tc>
          <w:tcPr>
            <w:tcW w:w="1216"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0.9</w:t>
            </w:r>
            <w:r w:rsidR="0020660A" w:rsidRPr="0020660A">
              <w:rPr>
                <w:color w:val="000000"/>
                <w:highlight w:val="yellow"/>
              </w:rPr>
              <w:t>9</w:t>
            </w:r>
            <w:r w:rsidRPr="0020660A">
              <w:rPr>
                <w:color w:val="000000"/>
                <w:highlight w:val="yellow"/>
              </w:rPr>
              <w:t>-1.</w:t>
            </w:r>
            <w:r w:rsidR="0020660A" w:rsidRPr="0020660A">
              <w:rPr>
                <w:color w:val="000000"/>
                <w:highlight w:val="yellow"/>
              </w:rPr>
              <w:t>11</w:t>
            </w:r>
          </w:p>
        </w:tc>
        <w:tc>
          <w:tcPr>
            <w:tcW w:w="1012"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w:t>
            </w:r>
            <w:r w:rsidR="0020660A" w:rsidRPr="0020660A">
              <w:rPr>
                <w:color w:val="000000"/>
                <w:highlight w:val="yellow"/>
              </w:rPr>
              <w:t>1161</w:t>
            </w:r>
          </w:p>
        </w:tc>
        <w:tc>
          <w:tcPr>
            <w:tcW w:w="75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1.1</w:t>
            </w:r>
            <w:r w:rsidR="00717D92" w:rsidRPr="00717D92">
              <w:rPr>
                <w:color w:val="000000"/>
                <w:highlight w:val="yellow"/>
              </w:rPr>
              <w:t>3</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.83</w:t>
            </w:r>
            <w:r w:rsidRPr="00717D92">
              <w:rPr>
                <w:color w:val="000000"/>
                <w:highlight w:val="yellow"/>
              </w:rPr>
              <w:t>-1.</w:t>
            </w:r>
            <w:r w:rsidR="00717D92" w:rsidRPr="00717D92">
              <w:rPr>
                <w:color w:val="000000"/>
                <w:highlight w:val="yellow"/>
              </w:rPr>
              <w:t>52</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4381</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FV last year</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0.99</w:t>
            </w:r>
          </w:p>
        </w:tc>
        <w:tc>
          <w:tcPr>
            <w:tcW w:w="1216"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0.9</w:t>
            </w:r>
            <w:r w:rsidR="0020660A" w:rsidRPr="0020660A">
              <w:rPr>
                <w:color w:val="000000"/>
                <w:highlight w:val="yellow"/>
              </w:rPr>
              <w:t>4-1.0</w:t>
            </w:r>
            <w:r w:rsidRPr="0020660A">
              <w:rPr>
                <w:color w:val="000000"/>
                <w:highlight w:val="yellow"/>
              </w:rPr>
              <w:t>5</w:t>
            </w:r>
          </w:p>
        </w:tc>
        <w:tc>
          <w:tcPr>
            <w:tcW w:w="101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0.730</w:t>
            </w:r>
            <w:r w:rsidR="00357530" w:rsidRPr="0020660A">
              <w:rPr>
                <w:color w:val="000000"/>
                <w:highlight w:val="yellow"/>
              </w:rPr>
              <w:t>2</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0.85</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0.63-1.</w:t>
            </w:r>
            <w:r w:rsidR="00717D92" w:rsidRPr="00717D92">
              <w:rPr>
                <w:color w:val="000000"/>
                <w:highlight w:val="yellow"/>
              </w:rPr>
              <w:t>14</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2758</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Both</w:t>
            </w:r>
          </w:p>
        </w:tc>
        <w:tc>
          <w:tcPr>
            <w:tcW w:w="772"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0.92</w:t>
            </w:r>
          </w:p>
        </w:tc>
        <w:tc>
          <w:tcPr>
            <w:tcW w:w="1216" w:type="dxa"/>
            <w:shd w:val="clear" w:color="auto" w:fill="auto"/>
            <w:noWrap/>
            <w:vAlign w:val="center"/>
            <w:hideMark/>
          </w:tcPr>
          <w:p w:rsidR="00357530" w:rsidRPr="0020660A" w:rsidRDefault="0020660A" w:rsidP="00BC5838">
            <w:pPr>
              <w:jc w:val="center"/>
              <w:rPr>
                <w:color w:val="000000"/>
                <w:highlight w:val="yellow"/>
              </w:rPr>
            </w:pPr>
            <w:r w:rsidRPr="0020660A">
              <w:rPr>
                <w:color w:val="000000"/>
                <w:highlight w:val="yellow"/>
              </w:rPr>
              <w:t>0.87</w:t>
            </w:r>
            <w:r w:rsidR="00357530" w:rsidRPr="0020660A">
              <w:rPr>
                <w:color w:val="000000"/>
                <w:highlight w:val="yellow"/>
              </w:rPr>
              <w:t>-</w:t>
            </w:r>
            <w:r w:rsidRPr="0020660A">
              <w:rPr>
                <w:color w:val="000000"/>
                <w:highlight w:val="yellow"/>
              </w:rPr>
              <w:t>0.97</w:t>
            </w:r>
          </w:p>
        </w:tc>
        <w:tc>
          <w:tcPr>
            <w:tcW w:w="1012" w:type="dxa"/>
            <w:shd w:val="clear" w:color="auto" w:fill="auto"/>
            <w:noWrap/>
            <w:vAlign w:val="center"/>
            <w:hideMark/>
          </w:tcPr>
          <w:p w:rsidR="00357530" w:rsidRPr="0020660A" w:rsidRDefault="00357530" w:rsidP="00BC5838">
            <w:pPr>
              <w:jc w:val="center"/>
              <w:rPr>
                <w:color w:val="000000"/>
                <w:highlight w:val="yellow"/>
              </w:rPr>
            </w:pPr>
            <w:r w:rsidRPr="0020660A">
              <w:rPr>
                <w:color w:val="000000"/>
                <w:highlight w:val="yellow"/>
              </w:rPr>
              <w:t>0.0</w:t>
            </w:r>
            <w:r w:rsidR="0020660A" w:rsidRPr="0020660A">
              <w:rPr>
                <w:color w:val="000000"/>
                <w:highlight w:val="yellow"/>
              </w:rPr>
              <w:t>035</w:t>
            </w:r>
          </w:p>
        </w:tc>
        <w:tc>
          <w:tcPr>
            <w:tcW w:w="750" w:type="dxa"/>
            <w:shd w:val="clear" w:color="auto" w:fill="auto"/>
            <w:noWrap/>
            <w:vAlign w:val="center"/>
            <w:hideMark/>
          </w:tcPr>
          <w:p w:rsidR="00357530" w:rsidRPr="00717D92" w:rsidRDefault="00717D92" w:rsidP="00BC5838">
            <w:pPr>
              <w:jc w:val="center"/>
              <w:rPr>
                <w:color w:val="000000"/>
                <w:highlight w:val="yellow"/>
              </w:rPr>
            </w:pPr>
            <w:r w:rsidRPr="00717D92">
              <w:rPr>
                <w:color w:val="000000"/>
                <w:highlight w:val="yellow"/>
              </w:rPr>
              <w:t>0.96</w:t>
            </w:r>
          </w:p>
        </w:tc>
        <w:tc>
          <w:tcPr>
            <w:tcW w:w="114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71-</w:t>
            </w:r>
            <w:r w:rsidRPr="00717D92">
              <w:rPr>
                <w:color w:val="000000"/>
                <w:highlight w:val="yellow"/>
              </w:rPr>
              <w:t>1.</w:t>
            </w:r>
            <w:r w:rsidR="00717D92" w:rsidRPr="00717D92">
              <w:rPr>
                <w:color w:val="000000"/>
                <w:highlight w:val="yellow"/>
              </w:rPr>
              <w:t>2</w:t>
            </w:r>
            <w:r w:rsidRPr="00717D92">
              <w:rPr>
                <w:color w:val="000000"/>
                <w:highlight w:val="yellow"/>
              </w:rPr>
              <w:t>9</w:t>
            </w:r>
          </w:p>
        </w:tc>
        <w:tc>
          <w:tcPr>
            <w:tcW w:w="990" w:type="dxa"/>
            <w:shd w:val="clear" w:color="auto" w:fill="auto"/>
            <w:noWrap/>
            <w:vAlign w:val="center"/>
            <w:hideMark/>
          </w:tcPr>
          <w:p w:rsidR="00357530" w:rsidRPr="00717D92" w:rsidRDefault="00357530" w:rsidP="00BC5838">
            <w:pPr>
              <w:jc w:val="center"/>
              <w:rPr>
                <w:color w:val="000000"/>
                <w:highlight w:val="yellow"/>
              </w:rPr>
            </w:pPr>
            <w:r w:rsidRPr="00717D92">
              <w:rPr>
                <w:color w:val="000000"/>
                <w:highlight w:val="yellow"/>
              </w:rPr>
              <w:t>0.</w:t>
            </w:r>
            <w:r w:rsidR="00717D92" w:rsidRPr="00717D92">
              <w:rPr>
                <w:color w:val="000000"/>
                <w:highlight w:val="yellow"/>
              </w:rPr>
              <w:t>7739</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4019" w:type="dxa"/>
            <w:gridSpan w:val="2"/>
            <w:shd w:val="clear" w:color="auto" w:fill="auto"/>
            <w:noWrap/>
            <w:vAlign w:val="center"/>
            <w:hideMark/>
          </w:tcPr>
          <w:p w:rsidR="00357530" w:rsidRPr="0019481B" w:rsidRDefault="00357530" w:rsidP="00BC5838">
            <w:pPr>
              <w:rPr>
                <w:b/>
                <w:bCs/>
                <w:color w:val="000000"/>
              </w:rPr>
            </w:pPr>
            <w:r w:rsidRPr="0019481B">
              <w:rPr>
                <w:b/>
                <w:bCs/>
                <w:color w:val="000000"/>
              </w:rPr>
              <w:t>&gt;=5 OP visit each year (n=5162)</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PV in previous 5 Years</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1.06</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0.99-1.1</w:t>
            </w:r>
            <w:r>
              <w:rPr>
                <w:color w:val="000000"/>
                <w:highlight w:val="yellow"/>
              </w:rPr>
              <w:t>2</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0849</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1.06</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0.77-1.47</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0.7049</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FV last year</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0.98</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w:t>
            </w:r>
            <w:r>
              <w:rPr>
                <w:color w:val="000000"/>
                <w:highlight w:val="yellow"/>
              </w:rPr>
              <w:t>3</w:t>
            </w:r>
            <w:r w:rsidRPr="0020660A">
              <w:rPr>
                <w:color w:val="000000"/>
                <w:highlight w:val="yellow"/>
              </w:rPr>
              <w:t>-1.0</w:t>
            </w:r>
            <w:r>
              <w:rPr>
                <w:color w:val="000000"/>
                <w:highlight w:val="yellow"/>
              </w:rPr>
              <w:t>4</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5061</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0.82</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0.60-1.12</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0.2199</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Both</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0.87-0.97</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0.003</w:t>
            </w:r>
            <w:r>
              <w:rPr>
                <w:color w:val="000000"/>
                <w:highlight w:val="yellow"/>
              </w:rPr>
              <w:t>6</w:t>
            </w:r>
          </w:p>
        </w:tc>
        <w:tc>
          <w:tcPr>
            <w:tcW w:w="75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0.96</w:t>
            </w:r>
          </w:p>
        </w:tc>
        <w:tc>
          <w:tcPr>
            <w:tcW w:w="114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0.70-1.30</w:t>
            </w:r>
          </w:p>
        </w:tc>
        <w:tc>
          <w:tcPr>
            <w:tcW w:w="990" w:type="dxa"/>
            <w:shd w:val="clear" w:color="auto" w:fill="auto"/>
            <w:noWrap/>
            <w:vAlign w:val="center"/>
            <w:hideMark/>
          </w:tcPr>
          <w:p w:rsidR="0020660A" w:rsidRPr="00717D92" w:rsidRDefault="0020660A" w:rsidP="00BC5838">
            <w:pPr>
              <w:jc w:val="center"/>
              <w:rPr>
                <w:color w:val="000000"/>
                <w:highlight w:val="yellow"/>
              </w:rPr>
            </w:pPr>
            <w:r w:rsidRPr="00717D92">
              <w:rPr>
                <w:color w:val="000000"/>
                <w:highlight w:val="yellow"/>
              </w:rPr>
              <w:t>0.7724</w:t>
            </w:r>
          </w:p>
        </w:tc>
      </w:tr>
      <w:tr w:rsidR="00357530" w:rsidRPr="0019481B" w:rsidTr="0020660A">
        <w:trPr>
          <w:trHeight w:val="330"/>
        </w:trPr>
        <w:tc>
          <w:tcPr>
            <w:tcW w:w="3247" w:type="dxa"/>
            <w:tcBorders>
              <w:bottom w:val="single" w:sz="4" w:space="0" w:color="auto"/>
            </w:tcBorders>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1012"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750"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99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9127" w:type="dxa"/>
            <w:gridSpan w:val="7"/>
            <w:tcBorders>
              <w:top w:val="single" w:sz="4" w:space="0" w:color="auto"/>
            </w:tcBorders>
            <w:shd w:val="clear" w:color="auto" w:fill="auto"/>
            <w:noWrap/>
            <w:vAlign w:val="center"/>
            <w:hideMark/>
          </w:tcPr>
          <w:p w:rsidR="00357530" w:rsidRPr="00D9608D" w:rsidRDefault="00357530" w:rsidP="00BC5838">
            <w:pPr>
              <w:rPr>
                <w:b/>
                <w:bCs/>
                <w:color w:val="000000"/>
              </w:rPr>
            </w:pPr>
            <w:r w:rsidRPr="0019481B">
              <w:rPr>
                <w:b/>
                <w:bCs/>
                <w:color w:val="000000"/>
              </w:rPr>
              <w:t>SA 4: Pneumonia Severity Score (n=3689)</w:t>
            </w:r>
            <w:r>
              <w:rPr>
                <w:b/>
                <w:bCs/>
                <w:color w:val="000000"/>
              </w:rPr>
              <w:t xml:space="preserve">: </w:t>
            </w:r>
          </w:p>
        </w:tc>
      </w:tr>
      <w:tr w:rsidR="00357530" w:rsidRPr="0019481B" w:rsidTr="0020660A">
        <w:trPr>
          <w:trHeight w:val="315"/>
        </w:trPr>
        <w:tc>
          <w:tcPr>
            <w:tcW w:w="8137" w:type="dxa"/>
            <w:gridSpan w:val="6"/>
            <w:shd w:val="clear" w:color="auto" w:fill="auto"/>
            <w:noWrap/>
            <w:vAlign w:val="center"/>
            <w:hideMark/>
          </w:tcPr>
          <w:p w:rsidR="00357530" w:rsidRPr="0019481B" w:rsidRDefault="00357530" w:rsidP="00BC5838">
            <w:pPr>
              <w:rPr>
                <w:b/>
                <w:bCs/>
                <w:color w:val="000000"/>
              </w:rPr>
            </w:pPr>
            <w:r>
              <w:rPr>
                <w:b/>
                <w:bCs/>
                <w:color w:val="000000"/>
              </w:rPr>
              <w:lastRenderedPageBreak/>
              <w:t xml:space="preserve">SA4.1. </w:t>
            </w:r>
            <w:r w:rsidRPr="0019481B">
              <w:rPr>
                <w:b/>
                <w:bCs/>
                <w:color w:val="000000"/>
              </w:rPr>
              <w:t>Adjusted for specific abnormal lab values (Hematocrit&lt;30%, Sodium&lt;130 mEg/L, Blood Urea Nitrogen&gt;30mg/dL, Glucose≥250 mg/dL)</w:t>
            </w:r>
          </w:p>
        </w:tc>
        <w:tc>
          <w:tcPr>
            <w:tcW w:w="990" w:type="dxa"/>
            <w:shd w:val="clear" w:color="auto" w:fill="auto"/>
            <w:noWrap/>
            <w:vAlign w:val="center"/>
            <w:hideMark/>
          </w:tcPr>
          <w:p w:rsidR="00357530" w:rsidRPr="0019481B" w:rsidRDefault="00357530" w:rsidP="00BC5838">
            <w:pPr>
              <w:jc w:val="center"/>
              <w:rPr>
                <w:b/>
                <w:bCs/>
                <w:color w:val="000000"/>
              </w:rPr>
            </w:pPr>
            <w:r w:rsidRPr="0019481B">
              <w:rPr>
                <w:b/>
                <w:bCs/>
                <w:color w:val="000000"/>
              </w:rPr>
              <w:t> </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PV in previous 5 Years</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1.02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w:t>
            </w:r>
            <w:r>
              <w:rPr>
                <w:color w:val="000000"/>
                <w:highlight w:val="yellow"/>
              </w:rPr>
              <w:t>5</w:t>
            </w:r>
            <w:r w:rsidRPr="0020660A">
              <w:rPr>
                <w:color w:val="000000"/>
                <w:highlight w:val="yellow"/>
              </w:rPr>
              <w:t>-1.</w:t>
            </w:r>
            <w:r>
              <w:rPr>
                <w:color w:val="000000"/>
                <w:highlight w:val="yellow"/>
              </w:rPr>
              <w:t>09</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0.6</w:t>
            </w:r>
            <w:r>
              <w:rPr>
                <w:color w:val="000000"/>
                <w:highlight w:val="yellow"/>
              </w:rPr>
              <w:t>1</w:t>
            </w:r>
            <w:r w:rsidRPr="0020660A">
              <w:rPr>
                <w:color w:val="000000"/>
                <w:highlight w:val="yellow"/>
              </w:rPr>
              <w:t>1</w:t>
            </w:r>
            <w:r>
              <w:rPr>
                <w:color w:val="000000"/>
                <w:highlight w:val="yellow"/>
              </w:rPr>
              <w:t>0</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1.66</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1.17-2.35</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0.0047</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FV last year</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0.92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86</w:t>
            </w:r>
            <w:r w:rsidRPr="0020660A">
              <w:rPr>
                <w:color w:val="000000"/>
                <w:highlight w:val="yellow"/>
              </w:rPr>
              <w:t>-</w:t>
            </w:r>
            <w:r>
              <w:rPr>
                <w:color w:val="000000"/>
                <w:highlight w:val="yellow"/>
              </w:rPr>
              <w:t>0.98</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0130</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1.05</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0.73-1.50</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0.8095</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Both</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0.8</w:t>
            </w:r>
            <w:r>
              <w:rPr>
                <w:color w:val="000000"/>
                <w:highlight w:val="yellow"/>
              </w:rPr>
              <w:t>6</w:t>
            </w:r>
            <w:r w:rsidRPr="0020660A">
              <w:rPr>
                <w:color w:val="000000"/>
                <w:highlight w:val="yellow"/>
              </w:rPr>
              <w:t>-0.9</w:t>
            </w:r>
            <w:r>
              <w:rPr>
                <w:color w:val="000000"/>
                <w:highlight w:val="yellow"/>
              </w:rPr>
              <w:t>8</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0.0</w:t>
            </w:r>
            <w:r>
              <w:rPr>
                <w:color w:val="000000"/>
                <w:highlight w:val="yellow"/>
              </w:rPr>
              <w:t>100</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1.09</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0.75-1.59</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0.6493</w:t>
            </w:r>
          </w:p>
        </w:tc>
      </w:tr>
      <w:tr w:rsidR="00357530" w:rsidRPr="0019481B" w:rsidTr="0020660A">
        <w:trPr>
          <w:trHeight w:val="315"/>
        </w:trPr>
        <w:tc>
          <w:tcPr>
            <w:tcW w:w="3247" w:type="dxa"/>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1012"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750" w:type="dxa"/>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shd w:val="clear" w:color="auto" w:fill="auto"/>
            <w:noWrap/>
            <w:vAlign w:val="bottom"/>
            <w:hideMark/>
          </w:tcPr>
          <w:p w:rsidR="00357530" w:rsidRPr="0019481B" w:rsidRDefault="00357530" w:rsidP="00BC5838">
            <w:pPr>
              <w:jc w:val="center"/>
              <w:rPr>
                <w:rFonts w:ascii="Calibri" w:hAnsi="Calibri" w:cs="Calibri"/>
                <w:color w:val="000000"/>
              </w:rPr>
            </w:pPr>
          </w:p>
        </w:tc>
        <w:tc>
          <w:tcPr>
            <w:tcW w:w="990" w:type="dxa"/>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r w:rsidR="00357530" w:rsidRPr="0019481B" w:rsidTr="0020660A">
        <w:trPr>
          <w:trHeight w:val="315"/>
        </w:trPr>
        <w:tc>
          <w:tcPr>
            <w:tcW w:w="9127" w:type="dxa"/>
            <w:gridSpan w:val="7"/>
            <w:shd w:val="clear" w:color="auto" w:fill="auto"/>
            <w:noWrap/>
            <w:vAlign w:val="center"/>
            <w:hideMark/>
          </w:tcPr>
          <w:p w:rsidR="00357530" w:rsidRPr="00D9608D" w:rsidRDefault="00357530" w:rsidP="00BC5838">
            <w:pPr>
              <w:rPr>
                <w:b/>
                <w:bCs/>
                <w:color w:val="000000"/>
              </w:rPr>
            </w:pPr>
            <w:r>
              <w:rPr>
                <w:b/>
                <w:bCs/>
                <w:color w:val="000000"/>
              </w:rPr>
              <w:t xml:space="preserve">SA4.2. </w:t>
            </w:r>
            <w:r w:rsidRPr="0019481B">
              <w:rPr>
                <w:b/>
                <w:bCs/>
                <w:color w:val="000000"/>
              </w:rPr>
              <w:t xml:space="preserve">Adjusted for the abbreviated pneumonia severity score </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PV in previous 5 Years</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1.03</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w:t>
            </w:r>
            <w:r>
              <w:rPr>
                <w:color w:val="000000"/>
                <w:highlight w:val="yellow"/>
              </w:rPr>
              <w:t>6</w:t>
            </w:r>
            <w:r w:rsidRPr="0020660A">
              <w:rPr>
                <w:color w:val="000000"/>
                <w:highlight w:val="yellow"/>
              </w:rPr>
              <w:t>-1.</w:t>
            </w:r>
            <w:r>
              <w:rPr>
                <w:color w:val="000000"/>
                <w:highlight w:val="yellow"/>
              </w:rPr>
              <w:t>10</w:t>
            </w:r>
          </w:p>
        </w:tc>
        <w:tc>
          <w:tcPr>
            <w:tcW w:w="101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0.4221</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1.64</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1.16-2.32</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0.0055</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FV last year</w:t>
            </w:r>
          </w:p>
        </w:tc>
        <w:tc>
          <w:tcPr>
            <w:tcW w:w="772" w:type="dxa"/>
            <w:shd w:val="clear" w:color="auto" w:fill="auto"/>
            <w:noWrap/>
            <w:vAlign w:val="center"/>
            <w:hideMark/>
          </w:tcPr>
          <w:p w:rsidR="0020660A" w:rsidRPr="0020660A" w:rsidRDefault="0020660A" w:rsidP="00BC5838">
            <w:pPr>
              <w:jc w:val="center"/>
              <w:rPr>
                <w:color w:val="000000"/>
                <w:highlight w:val="yellow"/>
              </w:rPr>
            </w:pPr>
            <w:r>
              <w:rPr>
                <w:color w:val="000000"/>
                <w:highlight w:val="yellow"/>
              </w:rPr>
              <w:t>0.92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86</w:t>
            </w:r>
            <w:r w:rsidRPr="0020660A">
              <w:rPr>
                <w:color w:val="000000"/>
                <w:highlight w:val="yellow"/>
              </w:rPr>
              <w:t>-</w:t>
            </w:r>
            <w:r>
              <w:rPr>
                <w:color w:val="000000"/>
                <w:highlight w:val="yellow"/>
              </w:rPr>
              <w:t>0.98</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w:t>
            </w:r>
            <w:r>
              <w:rPr>
                <w:color w:val="000000"/>
                <w:highlight w:val="yellow"/>
              </w:rPr>
              <w:t>0153</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1.03</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0.72-1.48</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0.8613</w:t>
            </w:r>
          </w:p>
        </w:tc>
      </w:tr>
      <w:tr w:rsidR="0020660A" w:rsidRPr="0019481B" w:rsidTr="0020660A">
        <w:trPr>
          <w:trHeight w:val="315"/>
        </w:trPr>
        <w:tc>
          <w:tcPr>
            <w:tcW w:w="3247" w:type="dxa"/>
            <w:shd w:val="clear" w:color="auto" w:fill="auto"/>
            <w:noWrap/>
            <w:vAlign w:val="center"/>
            <w:hideMark/>
          </w:tcPr>
          <w:p w:rsidR="0020660A" w:rsidRPr="0019481B" w:rsidRDefault="0020660A" w:rsidP="00BC5838">
            <w:pPr>
              <w:rPr>
                <w:color w:val="000000"/>
              </w:rPr>
            </w:pPr>
            <w:r w:rsidRPr="0019481B">
              <w:rPr>
                <w:color w:val="000000"/>
              </w:rPr>
              <w:t>Both</w:t>
            </w:r>
          </w:p>
        </w:tc>
        <w:tc>
          <w:tcPr>
            <w:tcW w:w="77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0.92</w:t>
            </w:r>
          </w:p>
        </w:tc>
        <w:tc>
          <w:tcPr>
            <w:tcW w:w="1216"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0.8</w:t>
            </w:r>
            <w:r>
              <w:rPr>
                <w:color w:val="000000"/>
                <w:highlight w:val="yellow"/>
              </w:rPr>
              <w:t>6</w:t>
            </w:r>
            <w:r w:rsidRPr="0020660A">
              <w:rPr>
                <w:color w:val="000000"/>
                <w:highlight w:val="yellow"/>
              </w:rPr>
              <w:t>-0.9</w:t>
            </w:r>
            <w:r>
              <w:rPr>
                <w:color w:val="000000"/>
                <w:highlight w:val="yellow"/>
              </w:rPr>
              <w:t>8</w:t>
            </w:r>
          </w:p>
        </w:tc>
        <w:tc>
          <w:tcPr>
            <w:tcW w:w="1012" w:type="dxa"/>
            <w:shd w:val="clear" w:color="auto" w:fill="auto"/>
            <w:noWrap/>
            <w:vAlign w:val="center"/>
            <w:hideMark/>
          </w:tcPr>
          <w:p w:rsidR="0020660A" w:rsidRPr="0020660A" w:rsidRDefault="0020660A" w:rsidP="00BC5838">
            <w:pPr>
              <w:jc w:val="center"/>
              <w:rPr>
                <w:color w:val="000000"/>
                <w:highlight w:val="yellow"/>
              </w:rPr>
            </w:pPr>
            <w:r w:rsidRPr="0020660A">
              <w:rPr>
                <w:color w:val="000000"/>
                <w:highlight w:val="yellow"/>
              </w:rPr>
              <w:t>0.0</w:t>
            </w:r>
            <w:r>
              <w:rPr>
                <w:color w:val="000000"/>
                <w:highlight w:val="yellow"/>
              </w:rPr>
              <w:t>118</w:t>
            </w:r>
          </w:p>
        </w:tc>
        <w:tc>
          <w:tcPr>
            <w:tcW w:w="75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1.12</w:t>
            </w:r>
          </w:p>
        </w:tc>
        <w:tc>
          <w:tcPr>
            <w:tcW w:w="114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0.77-1.62</w:t>
            </w:r>
          </w:p>
        </w:tc>
        <w:tc>
          <w:tcPr>
            <w:tcW w:w="990" w:type="dxa"/>
            <w:shd w:val="clear" w:color="auto" w:fill="auto"/>
            <w:noWrap/>
            <w:vAlign w:val="center"/>
            <w:hideMark/>
          </w:tcPr>
          <w:p w:rsidR="0020660A" w:rsidRPr="00521C18" w:rsidRDefault="0020660A" w:rsidP="00BC5838">
            <w:pPr>
              <w:jc w:val="center"/>
              <w:rPr>
                <w:color w:val="000000"/>
                <w:highlight w:val="yellow"/>
              </w:rPr>
            </w:pPr>
            <w:r w:rsidRPr="00521C18">
              <w:rPr>
                <w:color w:val="000000"/>
                <w:highlight w:val="yellow"/>
              </w:rPr>
              <w:t>0.5567</w:t>
            </w:r>
          </w:p>
        </w:tc>
      </w:tr>
      <w:tr w:rsidR="00357530" w:rsidRPr="0019481B" w:rsidTr="0020660A">
        <w:trPr>
          <w:trHeight w:val="315"/>
        </w:trPr>
        <w:tc>
          <w:tcPr>
            <w:tcW w:w="3247" w:type="dxa"/>
            <w:tcBorders>
              <w:bottom w:val="single" w:sz="4" w:space="0" w:color="auto"/>
            </w:tcBorders>
            <w:shd w:val="clear" w:color="auto" w:fill="auto"/>
            <w:noWrap/>
            <w:vAlign w:val="center"/>
            <w:hideMark/>
          </w:tcPr>
          <w:p w:rsidR="00357530" w:rsidRPr="0019481B" w:rsidRDefault="00357530" w:rsidP="00BC5838">
            <w:pPr>
              <w:rPr>
                <w:color w:val="000000"/>
              </w:rPr>
            </w:pPr>
            <w:r w:rsidRPr="0019481B">
              <w:rPr>
                <w:color w:val="000000"/>
              </w:rPr>
              <w:t>Neither</w:t>
            </w:r>
          </w:p>
        </w:tc>
        <w:tc>
          <w:tcPr>
            <w:tcW w:w="772"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216"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1012"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750" w:type="dxa"/>
            <w:tcBorders>
              <w:bottom w:val="single" w:sz="4" w:space="0" w:color="auto"/>
            </w:tcBorders>
            <w:shd w:val="clear" w:color="auto" w:fill="auto"/>
            <w:noWrap/>
            <w:vAlign w:val="center"/>
            <w:hideMark/>
          </w:tcPr>
          <w:p w:rsidR="00357530" w:rsidRPr="0019481B" w:rsidRDefault="00357530" w:rsidP="00BC5838">
            <w:pPr>
              <w:jc w:val="center"/>
              <w:rPr>
                <w:color w:val="000000"/>
              </w:rPr>
            </w:pPr>
            <w:r w:rsidRPr="0019481B">
              <w:rPr>
                <w:color w:val="000000"/>
              </w:rPr>
              <w:t>Ref</w:t>
            </w:r>
          </w:p>
        </w:tc>
        <w:tc>
          <w:tcPr>
            <w:tcW w:w="114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c>
          <w:tcPr>
            <w:tcW w:w="990" w:type="dxa"/>
            <w:tcBorders>
              <w:bottom w:val="single" w:sz="4" w:space="0" w:color="auto"/>
            </w:tcBorders>
            <w:shd w:val="clear" w:color="auto" w:fill="auto"/>
            <w:noWrap/>
            <w:vAlign w:val="bottom"/>
            <w:hideMark/>
          </w:tcPr>
          <w:p w:rsidR="00357530" w:rsidRPr="0019481B" w:rsidRDefault="00357530" w:rsidP="00BC5838">
            <w:pPr>
              <w:jc w:val="center"/>
              <w:rPr>
                <w:rFonts w:ascii="Calibri" w:hAnsi="Calibri" w:cs="Calibri"/>
                <w:color w:val="000000"/>
              </w:rPr>
            </w:pPr>
            <w:r w:rsidRPr="0019481B">
              <w:rPr>
                <w:rFonts w:ascii="Calibri" w:hAnsi="Calibri" w:cs="Calibri"/>
                <w:color w:val="000000"/>
                <w:sz w:val="22"/>
                <w:szCs w:val="22"/>
              </w:rPr>
              <w:t> </w:t>
            </w:r>
          </w:p>
        </w:tc>
      </w:tr>
    </w:tbl>
    <w:p w:rsidR="00357530" w:rsidRPr="00C86D4C" w:rsidRDefault="00661A30" w:rsidP="00357530">
      <w:pPr>
        <w:tabs>
          <w:tab w:val="left" w:pos="2430"/>
        </w:tabs>
        <w:spacing w:line="480" w:lineRule="auto"/>
      </w:pPr>
      <w:r>
        <w:t>I</w:t>
      </w:r>
      <w:r w:rsidR="0020660A">
        <w:t>R</w:t>
      </w:r>
      <w:r w:rsidR="00357530" w:rsidRPr="00C86D4C">
        <w:t xml:space="preserve">R: </w:t>
      </w:r>
      <w:r w:rsidR="00BC5838">
        <w:t>Incidence</w:t>
      </w:r>
      <w:r w:rsidR="0020660A">
        <w:t xml:space="preserve"> Rate</w:t>
      </w:r>
      <w:r w:rsidR="009729DD">
        <w:t xml:space="preserve"> Ratio; </w:t>
      </w:r>
      <w:r w:rsidR="00357530" w:rsidRPr="00C86D4C">
        <w:t>OR: Odds Ratio; PV: Pneumococcal Vaccine; FV: Influenza Vaccine</w:t>
      </w:r>
    </w:p>
    <w:p w:rsidR="00357530" w:rsidRPr="00C86D4C" w:rsidRDefault="00357530" w:rsidP="00BC5838">
      <w:r w:rsidRPr="00C86D4C">
        <w:t xml:space="preserve">All analyses have adjusted for patient's age, gender, race, marital status, comorbidity index score, non-MH outpatient visits and CAP hospitalization in the previous year, development of bacteremia, and respiratory complications, and any acute respiratory conditions experienced in the previous 30 days. </w:t>
      </w:r>
    </w:p>
    <w:p w:rsidR="00357530" w:rsidRDefault="00357530">
      <w:pPr>
        <w:spacing w:after="200" w:line="276" w:lineRule="auto"/>
        <w:rPr>
          <w:b/>
        </w:rPr>
      </w:pPr>
      <w:r>
        <w:rPr>
          <w:b/>
        </w:rPr>
        <w:br w:type="page"/>
      </w:r>
    </w:p>
    <w:p w:rsidR="001D435F" w:rsidRDefault="001D435F" w:rsidP="001D435F">
      <w:pPr>
        <w:spacing w:line="480" w:lineRule="auto"/>
        <w:rPr>
          <w:b/>
        </w:rPr>
      </w:pPr>
      <w:r w:rsidRPr="00D32225">
        <w:rPr>
          <w:b/>
        </w:rPr>
        <w:lastRenderedPageBreak/>
        <w:t>Table A.</w:t>
      </w:r>
      <w:r w:rsidR="002C4523">
        <w:rPr>
          <w:b/>
        </w:rPr>
        <w:t>3</w:t>
      </w:r>
      <w:r w:rsidRPr="00D32225">
        <w:rPr>
          <w:b/>
        </w:rPr>
        <w:t>. Sensitivity Analyses of Bacteremia and Respiratory Complications in Elderly Veterans Hospitalized for Community-Acquired Pneumonia in Fiscal Year 2003</w:t>
      </w:r>
    </w:p>
    <w:tbl>
      <w:tblPr>
        <w:tblW w:w="9351" w:type="dxa"/>
        <w:tblInd w:w="93" w:type="dxa"/>
        <w:tblLook w:val="04A0" w:firstRow="1" w:lastRow="0" w:firstColumn="1" w:lastColumn="0" w:noHBand="0" w:noVBand="1"/>
      </w:tblPr>
      <w:tblGrid>
        <w:gridCol w:w="3155"/>
        <w:gridCol w:w="787"/>
        <w:gridCol w:w="1393"/>
        <w:gridCol w:w="1117"/>
        <w:gridCol w:w="807"/>
        <w:gridCol w:w="1216"/>
        <w:gridCol w:w="876"/>
      </w:tblGrid>
      <w:tr w:rsidR="001D435F" w:rsidRPr="00D32225" w:rsidTr="00BC5838">
        <w:trPr>
          <w:trHeight w:val="330"/>
        </w:trPr>
        <w:tc>
          <w:tcPr>
            <w:tcW w:w="3155" w:type="dxa"/>
            <w:tcBorders>
              <w:top w:val="single" w:sz="4" w:space="0" w:color="auto"/>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 </w:t>
            </w:r>
          </w:p>
        </w:tc>
        <w:tc>
          <w:tcPr>
            <w:tcW w:w="3297" w:type="dxa"/>
            <w:gridSpan w:val="3"/>
            <w:tcBorders>
              <w:top w:val="single" w:sz="4" w:space="0" w:color="auto"/>
              <w:left w:val="nil"/>
              <w:bottom w:val="nil"/>
              <w:right w:val="nil"/>
            </w:tcBorders>
            <w:shd w:val="clear" w:color="auto" w:fill="auto"/>
            <w:noWrap/>
            <w:vAlign w:val="bottom"/>
            <w:hideMark/>
          </w:tcPr>
          <w:p w:rsidR="001D435F" w:rsidRPr="00D32225" w:rsidRDefault="001D435F" w:rsidP="00357530">
            <w:pPr>
              <w:jc w:val="center"/>
              <w:rPr>
                <w:b/>
                <w:bCs/>
                <w:color w:val="000000"/>
              </w:rPr>
            </w:pPr>
            <w:r w:rsidRPr="00D32225">
              <w:rPr>
                <w:b/>
                <w:bCs/>
                <w:color w:val="000000"/>
              </w:rPr>
              <w:t xml:space="preserve">Bacteremia </w:t>
            </w:r>
          </w:p>
        </w:tc>
        <w:tc>
          <w:tcPr>
            <w:tcW w:w="2899" w:type="dxa"/>
            <w:gridSpan w:val="3"/>
            <w:tcBorders>
              <w:top w:val="single" w:sz="4" w:space="0" w:color="auto"/>
              <w:left w:val="nil"/>
              <w:bottom w:val="nil"/>
            </w:tcBorders>
            <w:shd w:val="clear" w:color="auto" w:fill="auto"/>
            <w:noWrap/>
            <w:vAlign w:val="bottom"/>
            <w:hideMark/>
          </w:tcPr>
          <w:p w:rsidR="001D435F" w:rsidRPr="00D32225" w:rsidRDefault="001D435F" w:rsidP="00357530">
            <w:pPr>
              <w:jc w:val="center"/>
              <w:rPr>
                <w:b/>
                <w:bCs/>
                <w:color w:val="000000"/>
              </w:rPr>
            </w:pPr>
            <w:r w:rsidRPr="00D32225">
              <w:rPr>
                <w:b/>
                <w:bCs/>
                <w:color w:val="000000"/>
              </w:rPr>
              <w:t xml:space="preserve">Respiratory Complication </w:t>
            </w:r>
          </w:p>
        </w:tc>
      </w:tr>
      <w:tr w:rsidR="001D435F" w:rsidRPr="00D32225" w:rsidTr="00BC5838">
        <w:trPr>
          <w:trHeight w:val="315"/>
        </w:trPr>
        <w:tc>
          <w:tcPr>
            <w:tcW w:w="3155" w:type="dxa"/>
            <w:tcBorders>
              <w:top w:val="nil"/>
              <w:bottom w:val="nil"/>
              <w:right w:val="nil"/>
            </w:tcBorders>
            <w:shd w:val="clear" w:color="auto" w:fill="auto"/>
            <w:noWrap/>
            <w:vAlign w:val="bottom"/>
            <w:hideMark/>
          </w:tcPr>
          <w:p w:rsidR="001D435F" w:rsidRPr="00D32225" w:rsidRDefault="001D435F" w:rsidP="00357530">
            <w:pPr>
              <w:rPr>
                <w:rFonts w:ascii="Calibri" w:hAnsi="Calibri" w:cs="Calibri"/>
                <w:color w:val="000000"/>
              </w:rPr>
            </w:pPr>
            <w:r w:rsidRPr="00D32225">
              <w:rPr>
                <w:rFonts w:ascii="Calibri" w:hAnsi="Calibri" w:cs="Calibri"/>
                <w:color w:val="000000"/>
                <w:sz w:val="22"/>
                <w:szCs w:val="22"/>
              </w:rPr>
              <w:t> </w:t>
            </w:r>
          </w:p>
        </w:tc>
        <w:tc>
          <w:tcPr>
            <w:tcW w:w="787" w:type="dxa"/>
            <w:tcBorders>
              <w:top w:val="nil"/>
              <w:left w:val="nil"/>
              <w:bottom w:val="nil"/>
              <w:right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OR</w:t>
            </w:r>
          </w:p>
        </w:tc>
        <w:tc>
          <w:tcPr>
            <w:tcW w:w="1393" w:type="dxa"/>
            <w:tcBorders>
              <w:top w:val="nil"/>
              <w:left w:val="nil"/>
              <w:bottom w:val="nil"/>
              <w:right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95% CI</w:t>
            </w:r>
          </w:p>
        </w:tc>
        <w:tc>
          <w:tcPr>
            <w:tcW w:w="1117" w:type="dxa"/>
            <w:tcBorders>
              <w:top w:val="nil"/>
              <w:left w:val="nil"/>
              <w:bottom w:val="nil"/>
              <w:right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P-value</w:t>
            </w: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OR</w:t>
            </w:r>
          </w:p>
        </w:tc>
        <w:tc>
          <w:tcPr>
            <w:tcW w:w="1216" w:type="dxa"/>
            <w:tcBorders>
              <w:top w:val="nil"/>
              <w:left w:val="nil"/>
              <w:bottom w:val="nil"/>
              <w:right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95% CI</w:t>
            </w:r>
          </w:p>
        </w:tc>
        <w:tc>
          <w:tcPr>
            <w:tcW w:w="876" w:type="dxa"/>
            <w:tcBorders>
              <w:top w:val="nil"/>
              <w:left w:val="nil"/>
              <w:bottom w:val="nil"/>
            </w:tcBorders>
            <w:shd w:val="clear" w:color="auto" w:fill="auto"/>
            <w:noWrap/>
            <w:vAlign w:val="center"/>
            <w:hideMark/>
          </w:tcPr>
          <w:p w:rsidR="001D435F" w:rsidRPr="00D32225" w:rsidRDefault="001D435F" w:rsidP="00357530">
            <w:pPr>
              <w:jc w:val="center"/>
              <w:rPr>
                <w:b/>
                <w:bCs/>
                <w:color w:val="000000"/>
              </w:rPr>
            </w:pPr>
            <w:r w:rsidRPr="00D32225">
              <w:rPr>
                <w:b/>
                <w:bCs/>
                <w:color w:val="000000"/>
              </w:rPr>
              <w:t>P-value</w:t>
            </w:r>
          </w:p>
        </w:tc>
      </w:tr>
      <w:tr w:rsidR="001D435F" w:rsidRPr="00D32225" w:rsidTr="00BC5838">
        <w:trPr>
          <w:trHeight w:val="330"/>
        </w:trPr>
        <w:tc>
          <w:tcPr>
            <w:tcW w:w="8475" w:type="dxa"/>
            <w:gridSpan w:val="6"/>
            <w:tcBorders>
              <w:top w:val="single" w:sz="4" w:space="0" w:color="auto"/>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SA 1: Including admissions from nursing home or other inpatient facilities (n=7296)</w:t>
            </w:r>
          </w:p>
        </w:tc>
        <w:tc>
          <w:tcPr>
            <w:tcW w:w="876" w:type="dxa"/>
            <w:tcBorders>
              <w:top w:val="single" w:sz="4" w:space="0" w:color="auto"/>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0.71</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0.47-1.06</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0.0950</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1.2</w:t>
            </w:r>
            <w:r>
              <w:rPr>
                <w:color w:val="000000"/>
              </w:rPr>
              <w:t>0</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0.99-1.45</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0.0572</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0.67-1.36</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0.7945</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0.91</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0.75-1.10</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0.3308</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0.51-1.10</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0.1433</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0.83</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0.68-1.00</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0.0552</w:t>
            </w:r>
          </w:p>
        </w:tc>
      </w:tr>
      <w:tr w:rsidR="001D435F" w:rsidRPr="00D32225" w:rsidTr="00BC5838">
        <w:trPr>
          <w:trHeight w:val="330"/>
        </w:trPr>
        <w:tc>
          <w:tcPr>
            <w:tcW w:w="3155" w:type="dxa"/>
            <w:tcBorders>
              <w:top w:val="nil"/>
              <w:bottom w:val="single" w:sz="4" w:space="0" w:color="auto"/>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111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80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76" w:type="dxa"/>
            <w:tcBorders>
              <w:top w:val="nil"/>
              <w:left w:val="nil"/>
              <w:bottom w:val="single" w:sz="4" w:space="0" w:color="auto"/>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5335" w:type="dxa"/>
            <w:gridSpan w:val="3"/>
            <w:tcBorders>
              <w:top w:val="single" w:sz="4" w:space="0" w:color="auto"/>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SA 2: Excluding zero nights admission (n=6678)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0.67</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0.44-1.04</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0.0721</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1.24</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1.01-1.52</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0.0372</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0.99</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0.69-1.43</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0.9630</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0.73-1.09</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0.2524</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0.48-1.07</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0.1064</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0.86</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0.70-1.05</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0.1459</w:t>
            </w:r>
          </w:p>
        </w:tc>
      </w:tr>
      <w:tr w:rsidR="001D435F" w:rsidRPr="00D32225" w:rsidTr="00BC5838">
        <w:trPr>
          <w:trHeight w:val="315"/>
        </w:trPr>
        <w:tc>
          <w:tcPr>
            <w:tcW w:w="3155" w:type="dxa"/>
            <w:tcBorders>
              <w:top w:val="nil"/>
              <w:bottom w:val="single" w:sz="4" w:space="0" w:color="auto"/>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111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0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76" w:type="dxa"/>
            <w:tcBorders>
              <w:top w:val="nil"/>
              <w:left w:val="nil"/>
              <w:bottom w:val="single" w:sz="4" w:space="0" w:color="auto"/>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8475" w:type="dxa"/>
            <w:gridSpan w:val="6"/>
            <w:tcBorders>
              <w:top w:val="single" w:sz="4" w:space="0" w:color="auto"/>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 xml:space="preserve">SA 3: Varying the number of VA outpatient visits each year in previous 5 years required for patient selection  </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5335" w:type="dxa"/>
            <w:gridSpan w:val="3"/>
            <w:tcBorders>
              <w:top w:val="nil"/>
              <w:bottom w:val="nil"/>
              <w:right w:val="nil"/>
            </w:tcBorders>
            <w:shd w:val="clear" w:color="auto" w:fill="auto"/>
            <w:noWrap/>
            <w:vAlign w:val="center"/>
            <w:hideMark/>
          </w:tcPr>
          <w:p w:rsidR="001D435F" w:rsidRPr="00D32225" w:rsidRDefault="001D435F" w:rsidP="00357530">
            <w:pPr>
              <w:rPr>
                <w:b/>
                <w:bCs/>
                <w:i/>
                <w:iCs/>
                <w:color w:val="000000"/>
              </w:rPr>
            </w:pPr>
            <w:r w:rsidRPr="00D32225">
              <w:rPr>
                <w:b/>
                <w:bCs/>
                <w:i/>
                <w:iCs/>
                <w:color w:val="000000"/>
              </w:rPr>
              <w:t>&gt;=1 OP visit each year (main analysis, n=6723, see Table 2)</w:t>
            </w:r>
          </w:p>
        </w:tc>
        <w:tc>
          <w:tcPr>
            <w:tcW w:w="1117" w:type="dxa"/>
            <w:tcBorders>
              <w:top w:val="nil"/>
              <w:left w:val="nil"/>
              <w:bottom w:val="nil"/>
              <w:right w:val="nil"/>
            </w:tcBorders>
            <w:shd w:val="clear" w:color="auto" w:fill="auto"/>
            <w:noWrap/>
            <w:vAlign w:val="center"/>
            <w:hideMark/>
          </w:tcPr>
          <w:p w:rsidR="001D435F" w:rsidRPr="00D32225" w:rsidRDefault="001D435F" w:rsidP="00357530">
            <w:pPr>
              <w:jc w:val="center"/>
              <w:rPr>
                <w:b/>
                <w:bCs/>
                <w:i/>
                <w:iCs/>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942" w:type="dxa"/>
            <w:gridSpan w:val="2"/>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&gt;=2 OP visit each year (n=6400)</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0.61</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0.39-0.97</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0.0368</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1.19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0.96-1.46</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0.1091</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1.02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0.71-1.48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0.9077</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0.88</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0.72-1.08</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0.2202</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0.71</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0.47-1.08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0.1056</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0.86</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0.69-1.05</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0.1428</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942" w:type="dxa"/>
            <w:gridSpan w:val="2"/>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&gt;=3 OP visit each year (n=6013)</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0.39-0.99</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0.0450</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1.15</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0.92-1.43</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0.2119</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0.93</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0.64-1.37</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0.7286</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0.92</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0.74-1.13</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0.4241</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0.69</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0.45-1.05</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0.0833</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0.88</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0.71-1.09</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0.2471</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942" w:type="dxa"/>
            <w:gridSpan w:val="2"/>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&gt;=4 OP visit each year (n=5607)</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0.40-1.05</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0.0779</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1.04</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0.88-1.39</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0.3989</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0.61-1.38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0.6796</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0.85</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0.68-1.06</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0.1533</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0.67</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0.43-1.04</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0.0763</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0.85</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0.68-1.06</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0.1504</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942" w:type="dxa"/>
            <w:gridSpan w:val="2"/>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&gt;=5 OP visit each year (n=5162)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0.64</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0.39-1.06</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0.0827</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1.14</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0.89-1.45</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0.2985</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0.86</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0.56-1.31</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0.4763</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0.70-1.12</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0.3263</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0.69</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0.43=1.08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0.1065</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0.87</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0.69-1.10</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0.2523</w:t>
            </w:r>
          </w:p>
        </w:tc>
      </w:tr>
      <w:tr w:rsidR="001D435F" w:rsidRPr="00D32225" w:rsidTr="00BC5838">
        <w:trPr>
          <w:trHeight w:val="315"/>
        </w:trPr>
        <w:tc>
          <w:tcPr>
            <w:tcW w:w="3155" w:type="dxa"/>
            <w:tcBorders>
              <w:top w:val="nil"/>
              <w:bottom w:val="single" w:sz="4" w:space="0" w:color="auto"/>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111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80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76" w:type="dxa"/>
            <w:tcBorders>
              <w:top w:val="nil"/>
              <w:left w:val="nil"/>
              <w:bottom w:val="single" w:sz="4" w:space="0" w:color="auto"/>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942" w:type="dxa"/>
            <w:gridSpan w:val="2"/>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lastRenderedPageBreak/>
              <w:t>SA 4: Pneumonia Severity Score (n=3689)</w:t>
            </w:r>
          </w:p>
        </w:tc>
        <w:tc>
          <w:tcPr>
            <w:tcW w:w="1393"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p>
        </w:tc>
        <w:tc>
          <w:tcPr>
            <w:tcW w:w="111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p>
        </w:tc>
        <w:tc>
          <w:tcPr>
            <w:tcW w:w="1216"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8475" w:type="dxa"/>
            <w:gridSpan w:val="6"/>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Adjusted for specific abnormal lab values (Hematocrit&lt;30%, Sodium&lt;130 mEg/L, Blood Urea Nitrogen&gt;30mg/dL, Glucose≥250 mg/dL)</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0.27-0.89</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0.0197</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1.39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1.07-1.82</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0.0135</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0.78</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0.48-1.26</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0.3031</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0.76-1.29</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0.9453</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0.45-1.25</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0.2738</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0.82</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0.61-1.08</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0.1588</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rFonts w:ascii="Calibri" w:hAnsi="Calibri" w:cs="Calibri"/>
                <w:color w:val="000000"/>
              </w:rPr>
            </w:pPr>
          </w:p>
        </w:tc>
        <w:tc>
          <w:tcPr>
            <w:tcW w:w="807" w:type="dxa"/>
            <w:tcBorders>
              <w:top w:val="nil"/>
              <w:left w:val="nil"/>
              <w:bottom w:val="nil"/>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5335" w:type="dxa"/>
            <w:gridSpan w:val="3"/>
            <w:tcBorders>
              <w:top w:val="nil"/>
              <w:bottom w:val="nil"/>
              <w:right w:val="nil"/>
            </w:tcBorders>
            <w:shd w:val="clear" w:color="auto" w:fill="auto"/>
            <w:noWrap/>
            <w:vAlign w:val="center"/>
            <w:hideMark/>
          </w:tcPr>
          <w:p w:rsidR="001D435F" w:rsidRPr="00D32225" w:rsidRDefault="001D435F" w:rsidP="00357530">
            <w:pPr>
              <w:rPr>
                <w:b/>
                <w:bCs/>
                <w:color w:val="000000"/>
              </w:rPr>
            </w:pPr>
            <w:r w:rsidRPr="00D32225">
              <w:rPr>
                <w:b/>
                <w:bCs/>
                <w:color w:val="000000"/>
              </w:rPr>
              <w:t xml:space="preserve">Adjusted for the abbreviated pneumonia severity score </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PV in previous 5 Years</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0.5</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0.27-0.88</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0.0178</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1.39</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1.07-1.80</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0.0146</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FV last year</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0.77</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0.48-1.24</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0.2846</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0.98</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0.76-1.28</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0.901</w:t>
            </w:r>
          </w:p>
        </w:tc>
      </w:tr>
      <w:tr w:rsidR="001D435F" w:rsidRPr="00D32225" w:rsidTr="00BC5838">
        <w:trPr>
          <w:trHeight w:val="315"/>
        </w:trPr>
        <w:tc>
          <w:tcPr>
            <w:tcW w:w="3155" w:type="dxa"/>
            <w:tcBorders>
              <w:top w:val="nil"/>
              <w:bottom w:val="nil"/>
              <w:right w:val="nil"/>
            </w:tcBorders>
            <w:shd w:val="clear" w:color="auto" w:fill="auto"/>
            <w:noWrap/>
            <w:vAlign w:val="center"/>
            <w:hideMark/>
          </w:tcPr>
          <w:p w:rsidR="001D435F" w:rsidRPr="00D32225" w:rsidRDefault="001D435F" w:rsidP="00357530">
            <w:pPr>
              <w:rPr>
                <w:color w:val="000000"/>
              </w:rPr>
            </w:pPr>
            <w:r w:rsidRPr="00D32225">
              <w:rPr>
                <w:color w:val="000000"/>
              </w:rPr>
              <w:t>Both</w:t>
            </w:r>
          </w:p>
        </w:tc>
        <w:tc>
          <w:tcPr>
            <w:tcW w:w="78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0.72</w:t>
            </w:r>
          </w:p>
        </w:tc>
        <w:tc>
          <w:tcPr>
            <w:tcW w:w="1393"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0.43-1.19</w:t>
            </w:r>
          </w:p>
        </w:tc>
        <w:tc>
          <w:tcPr>
            <w:tcW w:w="111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0.2024</w:t>
            </w:r>
          </w:p>
        </w:tc>
        <w:tc>
          <w:tcPr>
            <w:tcW w:w="807"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0.8</w:t>
            </w:r>
            <w:r>
              <w:rPr>
                <w:color w:val="000000"/>
              </w:rPr>
              <w:t>0</w:t>
            </w:r>
          </w:p>
        </w:tc>
        <w:tc>
          <w:tcPr>
            <w:tcW w:w="1216" w:type="dxa"/>
            <w:tcBorders>
              <w:top w:val="nil"/>
              <w:left w:val="nil"/>
              <w:bottom w:val="nil"/>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0.60-1.06</w:t>
            </w:r>
          </w:p>
        </w:tc>
        <w:tc>
          <w:tcPr>
            <w:tcW w:w="876" w:type="dxa"/>
            <w:tcBorders>
              <w:top w:val="nil"/>
              <w:left w:val="nil"/>
              <w:bottom w:val="nil"/>
            </w:tcBorders>
            <w:shd w:val="clear" w:color="auto" w:fill="auto"/>
            <w:noWrap/>
            <w:vAlign w:val="bottom"/>
            <w:hideMark/>
          </w:tcPr>
          <w:p w:rsidR="001D435F" w:rsidRPr="00D32225" w:rsidRDefault="001D435F" w:rsidP="00357530">
            <w:pPr>
              <w:jc w:val="center"/>
              <w:rPr>
                <w:color w:val="000000"/>
              </w:rPr>
            </w:pPr>
            <w:r w:rsidRPr="00D32225">
              <w:rPr>
                <w:color w:val="000000"/>
              </w:rPr>
              <w:t>0.1213</w:t>
            </w:r>
          </w:p>
        </w:tc>
      </w:tr>
      <w:tr w:rsidR="001D435F" w:rsidRPr="00D32225" w:rsidTr="00BC5838">
        <w:trPr>
          <w:trHeight w:val="315"/>
        </w:trPr>
        <w:tc>
          <w:tcPr>
            <w:tcW w:w="3155" w:type="dxa"/>
            <w:tcBorders>
              <w:top w:val="nil"/>
              <w:bottom w:val="single" w:sz="4" w:space="0" w:color="auto"/>
              <w:right w:val="nil"/>
            </w:tcBorders>
            <w:shd w:val="clear" w:color="auto" w:fill="auto"/>
            <w:noWrap/>
            <w:vAlign w:val="center"/>
            <w:hideMark/>
          </w:tcPr>
          <w:p w:rsidR="001D435F" w:rsidRPr="00D32225" w:rsidRDefault="001D435F" w:rsidP="00357530">
            <w:pPr>
              <w:rPr>
                <w:color w:val="000000"/>
              </w:rPr>
            </w:pPr>
            <w:r w:rsidRPr="00D32225">
              <w:rPr>
                <w:color w:val="000000"/>
              </w:rPr>
              <w:t>Neither</w:t>
            </w:r>
          </w:p>
        </w:tc>
        <w:tc>
          <w:tcPr>
            <w:tcW w:w="78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393"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1117"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rFonts w:ascii="Calibri" w:hAnsi="Calibri" w:cs="Calibri"/>
                <w:color w:val="000000"/>
              </w:rPr>
            </w:pPr>
            <w:r w:rsidRPr="00D32225">
              <w:rPr>
                <w:rFonts w:ascii="Calibri" w:hAnsi="Calibri" w:cs="Calibri"/>
                <w:color w:val="000000"/>
                <w:sz w:val="22"/>
                <w:szCs w:val="22"/>
              </w:rPr>
              <w:t> </w:t>
            </w:r>
          </w:p>
        </w:tc>
        <w:tc>
          <w:tcPr>
            <w:tcW w:w="807" w:type="dxa"/>
            <w:tcBorders>
              <w:top w:val="nil"/>
              <w:left w:val="nil"/>
              <w:bottom w:val="single" w:sz="4" w:space="0" w:color="auto"/>
              <w:right w:val="nil"/>
            </w:tcBorders>
            <w:shd w:val="clear" w:color="auto" w:fill="auto"/>
            <w:noWrap/>
            <w:vAlign w:val="center"/>
            <w:hideMark/>
          </w:tcPr>
          <w:p w:rsidR="001D435F" w:rsidRPr="00D32225" w:rsidRDefault="001D435F" w:rsidP="00357530">
            <w:pPr>
              <w:jc w:val="center"/>
              <w:rPr>
                <w:color w:val="000000"/>
              </w:rPr>
            </w:pPr>
            <w:r w:rsidRPr="00D32225">
              <w:rPr>
                <w:color w:val="000000"/>
              </w:rPr>
              <w:t>Ref</w:t>
            </w:r>
          </w:p>
        </w:tc>
        <w:tc>
          <w:tcPr>
            <w:tcW w:w="1216" w:type="dxa"/>
            <w:tcBorders>
              <w:top w:val="nil"/>
              <w:left w:val="nil"/>
              <w:bottom w:val="single" w:sz="4" w:space="0" w:color="auto"/>
              <w:right w:val="nil"/>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c>
          <w:tcPr>
            <w:tcW w:w="876" w:type="dxa"/>
            <w:tcBorders>
              <w:top w:val="nil"/>
              <w:left w:val="nil"/>
              <w:bottom w:val="single" w:sz="4" w:space="0" w:color="auto"/>
            </w:tcBorders>
            <w:shd w:val="clear" w:color="auto" w:fill="auto"/>
            <w:noWrap/>
            <w:vAlign w:val="bottom"/>
            <w:hideMark/>
          </w:tcPr>
          <w:p w:rsidR="001D435F" w:rsidRPr="00D32225" w:rsidRDefault="001D435F" w:rsidP="00357530">
            <w:pPr>
              <w:jc w:val="center"/>
              <w:rPr>
                <w:color w:val="000000"/>
              </w:rPr>
            </w:pPr>
            <w:r w:rsidRPr="00D32225">
              <w:rPr>
                <w:color w:val="000000"/>
              </w:rPr>
              <w:t> </w:t>
            </w:r>
          </w:p>
        </w:tc>
      </w:tr>
    </w:tbl>
    <w:p w:rsidR="009729DD" w:rsidRPr="00C86D4C" w:rsidRDefault="009729DD" w:rsidP="002C4523">
      <w:pPr>
        <w:tabs>
          <w:tab w:val="left" w:pos="2430"/>
        </w:tabs>
      </w:pPr>
      <w:r w:rsidRPr="00C86D4C">
        <w:t>OR: Odds Ratio; PV: Pneumococcal Vaccine; FV: Influenza Vaccine</w:t>
      </w:r>
    </w:p>
    <w:p w:rsidR="002C4523" w:rsidRDefault="002C4523" w:rsidP="002C4523"/>
    <w:p w:rsidR="009729DD" w:rsidRPr="00C86D4C" w:rsidRDefault="009729DD" w:rsidP="002C4523">
      <w:r w:rsidRPr="00C86D4C">
        <w:t xml:space="preserve">All analyses have adjusted for patient's age, gender, race, marital status, </w:t>
      </w:r>
      <w:proofErr w:type="gramStart"/>
      <w:r w:rsidRPr="00C86D4C">
        <w:t>comorbidity</w:t>
      </w:r>
      <w:proofErr w:type="gramEnd"/>
      <w:r w:rsidRPr="00C86D4C">
        <w:t xml:space="preserve"> index score, non-MH outpatient visits and CAP hospitalization in the previous year, </w:t>
      </w:r>
      <w:r>
        <w:t>and</w:t>
      </w:r>
      <w:r w:rsidRPr="00C86D4C">
        <w:t xml:space="preserve"> any acute respiratory conditions experienced in the previous 30 days. </w:t>
      </w:r>
    </w:p>
    <w:p w:rsidR="001D435F" w:rsidRPr="00D32225" w:rsidRDefault="001D435F" w:rsidP="001D435F">
      <w:pPr>
        <w:spacing w:line="480" w:lineRule="auto"/>
      </w:pPr>
    </w:p>
    <w:p w:rsidR="001D435F" w:rsidRDefault="001D435F" w:rsidP="001D435F"/>
    <w:p w:rsidR="00357530" w:rsidRDefault="00357530">
      <w:pPr>
        <w:spacing w:after="200" w:line="276" w:lineRule="auto"/>
      </w:pPr>
      <w:r>
        <w:br w:type="page"/>
      </w:r>
    </w:p>
    <w:p w:rsidR="00357530" w:rsidRPr="00D03E25" w:rsidRDefault="00357530" w:rsidP="00357530">
      <w:pPr>
        <w:spacing w:line="480" w:lineRule="auto"/>
        <w:rPr>
          <w:b/>
          <w:color w:val="FF0000"/>
        </w:rPr>
      </w:pPr>
      <w:r w:rsidRPr="00357530">
        <w:rPr>
          <w:b/>
        </w:rPr>
        <w:lastRenderedPageBreak/>
        <w:t>Table A.4.</w:t>
      </w:r>
      <w:r>
        <w:t xml:space="preserve"> </w:t>
      </w:r>
      <w:r w:rsidRPr="00357530">
        <w:rPr>
          <w:b/>
        </w:rPr>
        <w:t>Sensitivity Analyses of Flu Season in Elderly Veterans Hospitalized for Community-Acquired Pneumonia in Fiscal Year 2003</w:t>
      </w:r>
      <w:r>
        <w:rPr>
          <w:b/>
        </w:rPr>
        <w:t>*</w:t>
      </w:r>
      <w:r w:rsidR="00D03E25">
        <w:rPr>
          <w:b/>
        </w:rPr>
        <w:t xml:space="preserve"> </w:t>
      </w:r>
    </w:p>
    <w:tbl>
      <w:tblPr>
        <w:tblW w:w="9270" w:type="dxa"/>
        <w:tblInd w:w="108" w:type="dxa"/>
        <w:tblLook w:val="04A0" w:firstRow="1" w:lastRow="0" w:firstColumn="1" w:lastColumn="0" w:noHBand="0" w:noVBand="1"/>
      </w:tblPr>
      <w:tblGrid>
        <w:gridCol w:w="2160"/>
        <w:gridCol w:w="820"/>
        <w:gridCol w:w="1360"/>
        <w:gridCol w:w="1060"/>
        <w:gridCol w:w="1020"/>
        <w:gridCol w:w="1600"/>
        <w:gridCol w:w="1250"/>
      </w:tblGrid>
      <w:tr w:rsidR="00357530" w:rsidRPr="00357530" w:rsidTr="00BC5838">
        <w:trPr>
          <w:trHeight w:val="1170"/>
        </w:trPr>
        <w:tc>
          <w:tcPr>
            <w:tcW w:w="2160" w:type="dxa"/>
            <w:tcBorders>
              <w:top w:val="single" w:sz="12" w:space="0" w:color="auto"/>
              <w:left w:val="nil"/>
              <w:bottom w:val="single" w:sz="4" w:space="0" w:color="auto"/>
              <w:right w:val="nil"/>
            </w:tcBorders>
            <w:shd w:val="clear" w:color="auto" w:fill="auto"/>
            <w:noWrap/>
            <w:vAlign w:val="center"/>
            <w:hideMark/>
          </w:tcPr>
          <w:p w:rsidR="00357530" w:rsidRPr="00357530" w:rsidRDefault="00357530" w:rsidP="00357530">
            <w:pPr>
              <w:rPr>
                <w:color w:val="000000"/>
              </w:rPr>
            </w:pPr>
            <w:r w:rsidRPr="00357530">
              <w:rPr>
                <w:color w:val="000000"/>
              </w:rPr>
              <w:t> </w:t>
            </w:r>
          </w:p>
        </w:tc>
        <w:tc>
          <w:tcPr>
            <w:tcW w:w="3240" w:type="dxa"/>
            <w:gridSpan w:val="3"/>
            <w:tcBorders>
              <w:top w:val="single" w:sz="12" w:space="0" w:color="auto"/>
              <w:left w:val="nil"/>
              <w:bottom w:val="single" w:sz="4" w:space="0" w:color="auto"/>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Recode Those FV Vaccinated during the Past Flu Season as Unvaccinated (n=6723)</w:t>
            </w:r>
          </w:p>
        </w:tc>
        <w:tc>
          <w:tcPr>
            <w:tcW w:w="3870" w:type="dxa"/>
            <w:gridSpan w:val="3"/>
            <w:tcBorders>
              <w:top w:val="single" w:sz="12" w:space="0" w:color="auto"/>
              <w:left w:val="nil"/>
              <w:bottom w:val="single" w:sz="4" w:space="0" w:color="auto"/>
              <w:right w:val="nil"/>
            </w:tcBorders>
            <w:shd w:val="clear" w:color="auto" w:fill="auto"/>
            <w:vAlign w:val="center"/>
            <w:hideMark/>
          </w:tcPr>
          <w:p w:rsidR="00357530" w:rsidRPr="00357530" w:rsidRDefault="00357530" w:rsidP="00145EB9">
            <w:pPr>
              <w:jc w:val="center"/>
              <w:rPr>
                <w:b/>
                <w:bCs/>
                <w:color w:val="000000"/>
              </w:rPr>
            </w:pPr>
            <w:r w:rsidRPr="00357530">
              <w:rPr>
                <w:b/>
                <w:bCs/>
                <w:color w:val="000000"/>
              </w:rPr>
              <w:t>Excluding Admissions Occurred  During Non-Flu Season (n=53</w:t>
            </w:r>
            <w:r w:rsidR="00145EB9">
              <w:rPr>
                <w:b/>
                <w:bCs/>
                <w:color w:val="000000"/>
              </w:rPr>
              <w:t>29</w:t>
            </w:r>
            <w:r w:rsidRPr="00357530">
              <w:rPr>
                <w:b/>
                <w:bCs/>
                <w:color w:val="000000"/>
              </w:rPr>
              <w:t>)</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jc w:val="center"/>
              <w:rPr>
                <w:b/>
                <w:bCs/>
                <w:color w:val="000000"/>
              </w:rPr>
            </w:pPr>
          </w:p>
        </w:tc>
        <w:tc>
          <w:tcPr>
            <w:tcW w:w="3240" w:type="dxa"/>
            <w:gridSpan w:val="3"/>
            <w:tcBorders>
              <w:top w:val="nil"/>
              <w:left w:val="nil"/>
              <w:bottom w:val="nil"/>
              <w:right w:val="nil"/>
            </w:tcBorders>
            <w:shd w:val="clear" w:color="auto" w:fill="auto"/>
            <w:vAlign w:val="center"/>
            <w:hideMark/>
          </w:tcPr>
          <w:p w:rsidR="00357530" w:rsidRPr="00357530" w:rsidRDefault="00357530" w:rsidP="00357530">
            <w:pPr>
              <w:rPr>
                <w:b/>
                <w:bCs/>
                <w:color w:val="000000"/>
              </w:rPr>
            </w:pPr>
            <w:r w:rsidRPr="00357530">
              <w:rPr>
                <w:b/>
                <w:bCs/>
                <w:color w:val="000000"/>
              </w:rPr>
              <w:t>Length of Stay</w:t>
            </w:r>
          </w:p>
        </w:tc>
        <w:tc>
          <w:tcPr>
            <w:tcW w:w="3870" w:type="dxa"/>
            <w:gridSpan w:val="3"/>
            <w:tcBorders>
              <w:top w:val="single" w:sz="4" w:space="0" w:color="auto"/>
              <w:left w:val="nil"/>
              <w:bottom w:val="nil"/>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Length of Stay</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w:t>
            </w:r>
            <w:r w:rsidRPr="00357530">
              <w:rPr>
                <w:b/>
                <w:bCs/>
                <w:color w:val="000000"/>
              </w:rPr>
              <w:t>Vaccination Status</w:t>
            </w:r>
          </w:p>
        </w:tc>
        <w:tc>
          <w:tcPr>
            <w:tcW w:w="820" w:type="dxa"/>
            <w:tcBorders>
              <w:top w:val="nil"/>
              <w:left w:val="nil"/>
              <w:bottom w:val="nil"/>
              <w:right w:val="nil"/>
            </w:tcBorders>
            <w:shd w:val="clear" w:color="auto" w:fill="auto"/>
            <w:vAlign w:val="center"/>
            <w:hideMark/>
          </w:tcPr>
          <w:p w:rsidR="00357530" w:rsidRPr="00521C18" w:rsidRDefault="00661A30" w:rsidP="00357530">
            <w:pPr>
              <w:jc w:val="center"/>
              <w:rPr>
                <w:color w:val="000000"/>
                <w:highlight w:val="yellow"/>
              </w:rPr>
            </w:pPr>
            <w:r>
              <w:rPr>
                <w:color w:val="000000"/>
                <w:highlight w:val="yellow"/>
              </w:rPr>
              <w:t>IRR</w:t>
            </w:r>
          </w:p>
        </w:tc>
        <w:tc>
          <w:tcPr>
            <w:tcW w:w="136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95% CI</w:t>
            </w:r>
          </w:p>
        </w:tc>
        <w:tc>
          <w:tcPr>
            <w:tcW w:w="106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P-value</w:t>
            </w:r>
          </w:p>
        </w:tc>
        <w:tc>
          <w:tcPr>
            <w:tcW w:w="1020" w:type="dxa"/>
            <w:tcBorders>
              <w:top w:val="nil"/>
              <w:left w:val="nil"/>
              <w:bottom w:val="nil"/>
              <w:right w:val="nil"/>
            </w:tcBorders>
            <w:shd w:val="clear" w:color="auto" w:fill="auto"/>
            <w:vAlign w:val="center"/>
            <w:hideMark/>
          </w:tcPr>
          <w:p w:rsidR="00357530" w:rsidRPr="00521C18" w:rsidRDefault="00661A30" w:rsidP="00521C18">
            <w:pPr>
              <w:jc w:val="center"/>
              <w:rPr>
                <w:color w:val="000000"/>
                <w:highlight w:val="yellow"/>
              </w:rPr>
            </w:pPr>
            <w:r>
              <w:rPr>
                <w:color w:val="000000"/>
                <w:highlight w:val="yellow"/>
              </w:rPr>
              <w:t>IRR</w:t>
            </w:r>
          </w:p>
        </w:tc>
        <w:tc>
          <w:tcPr>
            <w:tcW w:w="160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95% CI</w:t>
            </w:r>
          </w:p>
        </w:tc>
        <w:tc>
          <w:tcPr>
            <w:tcW w:w="125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P-value</w:t>
            </w:r>
          </w:p>
        </w:tc>
      </w:tr>
      <w:tr w:rsidR="00145EB9" w:rsidRPr="00357530" w:rsidTr="00BC5838">
        <w:trPr>
          <w:trHeight w:val="630"/>
        </w:trPr>
        <w:tc>
          <w:tcPr>
            <w:tcW w:w="2160" w:type="dxa"/>
            <w:tcBorders>
              <w:top w:val="nil"/>
              <w:left w:val="nil"/>
              <w:bottom w:val="nil"/>
              <w:right w:val="nil"/>
            </w:tcBorders>
            <w:shd w:val="clear" w:color="auto" w:fill="auto"/>
            <w:vAlign w:val="center"/>
            <w:hideMark/>
          </w:tcPr>
          <w:p w:rsidR="00145EB9" w:rsidRPr="00357530" w:rsidRDefault="00145EB9" w:rsidP="00357530">
            <w:pPr>
              <w:rPr>
                <w:color w:val="000000"/>
              </w:rPr>
            </w:pPr>
            <w:r w:rsidRPr="00357530">
              <w:rPr>
                <w:color w:val="000000"/>
              </w:rPr>
              <w:t xml:space="preserve">  PV in previous 5 Years</w:t>
            </w:r>
          </w:p>
        </w:tc>
        <w:tc>
          <w:tcPr>
            <w:tcW w:w="820" w:type="dxa"/>
            <w:tcBorders>
              <w:top w:val="nil"/>
              <w:left w:val="nil"/>
              <w:bottom w:val="nil"/>
              <w:right w:val="nil"/>
            </w:tcBorders>
            <w:shd w:val="clear" w:color="auto" w:fill="auto"/>
            <w:noWrap/>
            <w:vAlign w:val="center"/>
            <w:hideMark/>
          </w:tcPr>
          <w:p w:rsidR="00145EB9" w:rsidRPr="00521C18" w:rsidRDefault="00145EB9" w:rsidP="00432CF2">
            <w:pPr>
              <w:jc w:val="right"/>
              <w:rPr>
                <w:color w:val="000000"/>
                <w:highlight w:val="yellow"/>
              </w:rPr>
            </w:pPr>
            <w:r>
              <w:rPr>
                <w:color w:val="000000"/>
                <w:highlight w:val="yellow"/>
              </w:rPr>
              <w:t>1.0</w:t>
            </w:r>
            <w:r w:rsidR="00432CF2">
              <w:rPr>
                <w:color w:val="000000"/>
                <w:highlight w:val="yellow"/>
              </w:rPr>
              <w:t>1</w:t>
            </w:r>
          </w:p>
        </w:tc>
        <w:tc>
          <w:tcPr>
            <w:tcW w:w="1360" w:type="dxa"/>
            <w:tcBorders>
              <w:top w:val="nil"/>
              <w:left w:val="nil"/>
              <w:bottom w:val="nil"/>
              <w:right w:val="nil"/>
            </w:tcBorders>
            <w:shd w:val="clear" w:color="auto" w:fill="auto"/>
            <w:noWrap/>
            <w:vAlign w:val="center"/>
            <w:hideMark/>
          </w:tcPr>
          <w:p w:rsidR="00145EB9" w:rsidRPr="00521C18" w:rsidRDefault="00145EB9" w:rsidP="00432CF2">
            <w:pPr>
              <w:jc w:val="right"/>
              <w:rPr>
                <w:color w:val="000000"/>
                <w:highlight w:val="yellow"/>
              </w:rPr>
            </w:pPr>
            <w:r w:rsidRPr="00521C18">
              <w:rPr>
                <w:color w:val="000000"/>
                <w:highlight w:val="yellow"/>
              </w:rPr>
              <w:t>0.9</w:t>
            </w:r>
            <w:r w:rsidR="00432CF2">
              <w:rPr>
                <w:color w:val="000000"/>
                <w:highlight w:val="yellow"/>
              </w:rPr>
              <w:t>6</w:t>
            </w:r>
            <w:r w:rsidRPr="00521C18">
              <w:rPr>
                <w:color w:val="000000"/>
                <w:highlight w:val="yellow"/>
              </w:rPr>
              <w:t>-1.0</w:t>
            </w:r>
            <w:r w:rsidR="00432CF2">
              <w:rPr>
                <w:color w:val="000000"/>
                <w:highlight w:val="yellow"/>
              </w:rPr>
              <w:t>6</w:t>
            </w:r>
          </w:p>
        </w:tc>
        <w:tc>
          <w:tcPr>
            <w:tcW w:w="1060" w:type="dxa"/>
            <w:tcBorders>
              <w:top w:val="nil"/>
              <w:left w:val="nil"/>
              <w:bottom w:val="nil"/>
              <w:right w:val="nil"/>
            </w:tcBorders>
            <w:shd w:val="clear" w:color="auto" w:fill="auto"/>
            <w:noWrap/>
            <w:vAlign w:val="center"/>
            <w:hideMark/>
          </w:tcPr>
          <w:p w:rsidR="00145EB9" w:rsidRPr="00521C18" w:rsidRDefault="00145EB9" w:rsidP="00432CF2">
            <w:pPr>
              <w:jc w:val="right"/>
              <w:rPr>
                <w:color w:val="000000"/>
                <w:highlight w:val="yellow"/>
              </w:rPr>
            </w:pPr>
            <w:r w:rsidRPr="00521C18">
              <w:rPr>
                <w:color w:val="000000"/>
                <w:highlight w:val="yellow"/>
              </w:rPr>
              <w:t>0.</w:t>
            </w:r>
            <w:r>
              <w:rPr>
                <w:color w:val="000000"/>
                <w:highlight w:val="yellow"/>
              </w:rPr>
              <w:t>72</w:t>
            </w:r>
            <w:r w:rsidR="00432CF2">
              <w:rPr>
                <w:color w:val="000000"/>
                <w:highlight w:val="yellow"/>
              </w:rPr>
              <w:t>32</w:t>
            </w:r>
          </w:p>
        </w:tc>
        <w:tc>
          <w:tcPr>
            <w:tcW w:w="102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Pr>
                <w:color w:val="000000"/>
                <w:highlight w:val="yellow"/>
              </w:rPr>
              <w:t>1.03</w:t>
            </w:r>
          </w:p>
        </w:tc>
        <w:tc>
          <w:tcPr>
            <w:tcW w:w="160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0.9</w:t>
            </w:r>
            <w:r>
              <w:rPr>
                <w:color w:val="000000"/>
                <w:highlight w:val="yellow"/>
              </w:rPr>
              <w:t>7</w:t>
            </w:r>
            <w:r w:rsidRPr="00521C18">
              <w:rPr>
                <w:color w:val="000000"/>
                <w:highlight w:val="yellow"/>
              </w:rPr>
              <w:t>-1.0</w:t>
            </w:r>
            <w:r>
              <w:rPr>
                <w:color w:val="000000"/>
                <w:highlight w:val="yellow"/>
              </w:rPr>
              <w:t>9</w:t>
            </w:r>
          </w:p>
        </w:tc>
        <w:tc>
          <w:tcPr>
            <w:tcW w:w="125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w:t>
            </w:r>
            <w:r>
              <w:rPr>
                <w:color w:val="000000"/>
                <w:highlight w:val="yellow"/>
              </w:rPr>
              <w:t>3</w:t>
            </w:r>
            <w:r w:rsidRPr="00521C18">
              <w:rPr>
                <w:color w:val="000000"/>
                <w:highlight w:val="yellow"/>
              </w:rPr>
              <w:t>1</w:t>
            </w:r>
            <w:r>
              <w:rPr>
                <w:color w:val="000000"/>
                <w:highlight w:val="yellow"/>
              </w:rPr>
              <w:t>72</w:t>
            </w:r>
          </w:p>
        </w:tc>
      </w:tr>
      <w:tr w:rsidR="00145EB9" w:rsidRPr="00357530" w:rsidTr="00BC5838">
        <w:trPr>
          <w:trHeight w:val="315"/>
        </w:trPr>
        <w:tc>
          <w:tcPr>
            <w:tcW w:w="2160" w:type="dxa"/>
            <w:tcBorders>
              <w:top w:val="nil"/>
              <w:left w:val="nil"/>
              <w:bottom w:val="nil"/>
              <w:right w:val="nil"/>
            </w:tcBorders>
            <w:shd w:val="clear" w:color="auto" w:fill="auto"/>
            <w:vAlign w:val="center"/>
            <w:hideMark/>
          </w:tcPr>
          <w:p w:rsidR="00145EB9" w:rsidRPr="00357530" w:rsidRDefault="00145EB9" w:rsidP="00357530">
            <w:pPr>
              <w:rPr>
                <w:color w:val="000000"/>
              </w:rPr>
            </w:pPr>
            <w:r w:rsidRPr="00357530">
              <w:rPr>
                <w:color w:val="000000"/>
              </w:rPr>
              <w:t xml:space="preserve">  FV last year</w:t>
            </w:r>
          </w:p>
        </w:tc>
        <w:tc>
          <w:tcPr>
            <w:tcW w:w="820" w:type="dxa"/>
            <w:tcBorders>
              <w:top w:val="nil"/>
              <w:left w:val="nil"/>
              <w:bottom w:val="nil"/>
              <w:right w:val="nil"/>
            </w:tcBorders>
            <w:shd w:val="clear" w:color="auto" w:fill="auto"/>
            <w:noWrap/>
            <w:vAlign w:val="center"/>
            <w:hideMark/>
          </w:tcPr>
          <w:p w:rsidR="00145EB9" w:rsidRPr="00521C18" w:rsidRDefault="00145EB9" w:rsidP="00357530">
            <w:pPr>
              <w:jc w:val="right"/>
              <w:rPr>
                <w:color w:val="000000"/>
                <w:highlight w:val="yellow"/>
              </w:rPr>
            </w:pPr>
            <w:r w:rsidRPr="00521C18">
              <w:rPr>
                <w:color w:val="000000"/>
                <w:highlight w:val="yellow"/>
              </w:rPr>
              <w:t>0</w:t>
            </w:r>
            <w:r>
              <w:rPr>
                <w:color w:val="000000"/>
                <w:highlight w:val="yellow"/>
              </w:rPr>
              <w:t>.9</w:t>
            </w:r>
            <w:r w:rsidR="00432CF2">
              <w:rPr>
                <w:color w:val="000000"/>
                <w:highlight w:val="yellow"/>
              </w:rPr>
              <w:t>9</w:t>
            </w:r>
          </w:p>
        </w:tc>
        <w:tc>
          <w:tcPr>
            <w:tcW w:w="136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0.9</w:t>
            </w:r>
            <w:r>
              <w:rPr>
                <w:color w:val="000000"/>
                <w:highlight w:val="yellow"/>
              </w:rPr>
              <w:t>0-1.01</w:t>
            </w:r>
          </w:p>
        </w:tc>
        <w:tc>
          <w:tcPr>
            <w:tcW w:w="1060" w:type="dxa"/>
            <w:tcBorders>
              <w:top w:val="nil"/>
              <w:left w:val="nil"/>
              <w:bottom w:val="nil"/>
              <w:right w:val="nil"/>
            </w:tcBorders>
            <w:shd w:val="clear" w:color="auto" w:fill="auto"/>
            <w:noWrap/>
            <w:vAlign w:val="center"/>
            <w:hideMark/>
          </w:tcPr>
          <w:p w:rsidR="00145EB9" w:rsidRPr="00521C18" w:rsidRDefault="00432CF2" w:rsidP="00145EB9">
            <w:pPr>
              <w:jc w:val="right"/>
              <w:rPr>
                <w:color w:val="000000"/>
                <w:highlight w:val="yellow"/>
              </w:rPr>
            </w:pPr>
            <w:r>
              <w:rPr>
                <w:color w:val="000000"/>
                <w:highlight w:val="yellow"/>
              </w:rPr>
              <w:t>0.5920</w:t>
            </w:r>
          </w:p>
        </w:tc>
        <w:tc>
          <w:tcPr>
            <w:tcW w:w="102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w:t>
            </w:r>
            <w:r>
              <w:rPr>
                <w:color w:val="000000"/>
                <w:highlight w:val="yellow"/>
              </w:rPr>
              <w:t>.9</w:t>
            </w:r>
            <w:r w:rsidRPr="00521C18">
              <w:rPr>
                <w:color w:val="000000"/>
                <w:highlight w:val="yellow"/>
              </w:rPr>
              <w:t>5</w:t>
            </w:r>
          </w:p>
        </w:tc>
        <w:tc>
          <w:tcPr>
            <w:tcW w:w="160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0.9</w:t>
            </w:r>
            <w:r>
              <w:rPr>
                <w:color w:val="000000"/>
                <w:highlight w:val="yellow"/>
              </w:rPr>
              <w:t>0-1.01</w:t>
            </w:r>
          </w:p>
        </w:tc>
        <w:tc>
          <w:tcPr>
            <w:tcW w:w="125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sidRPr="00521C18">
              <w:rPr>
                <w:color w:val="000000"/>
                <w:highlight w:val="yellow"/>
              </w:rPr>
              <w:t>0.</w:t>
            </w:r>
            <w:r>
              <w:rPr>
                <w:color w:val="000000"/>
                <w:highlight w:val="yellow"/>
              </w:rPr>
              <w:t>0910</w:t>
            </w:r>
          </w:p>
        </w:tc>
      </w:tr>
      <w:tr w:rsidR="00145EB9" w:rsidRPr="00357530" w:rsidTr="00BC5838">
        <w:trPr>
          <w:trHeight w:val="315"/>
        </w:trPr>
        <w:tc>
          <w:tcPr>
            <w:tcW w:w="2160" w:type="dxa"/>
            <w:tcBorders>
              <w:top w:val="nil"/>
              <w:left w:val="nil"/>
              <w:bottom w:val="nil"/>
              <w:right w:val="nil"/>
            </w:tcBorders>
            <w:shd w:val="clear" w:color="auto" w:fill="auto"/>
            <w:vAlign w:val="center"/>
            <w:hideMark/>
          </w:tcPr>
          <w:p w:rsidR="00145EB9" w:rsidRPr="00357530" w:rsidRDefault="00145EB9" w:rsidP="00357530">
            <w:pPr>
              <w:rPr>
                <w:color w:val="000000"/>
              </w:rPr>
            </w:pPr>
            <w:r w:rsidRPr="00357530">
              <w:rPr>
                <w:color w:val="000000"/>
              </w:rPr>
              <w:t xml:space="preserve">  Both</w:t>
            </w:r>
          </w:p>
        </w:tc>
        <w:tc>
          <w:tcPr>
            <w:tcW w:w="820" w:type="dxa"/>
            <w:tcBorders>
              <w:top w:val="nil"/>
              <w:left w:val="nil"/>
              <w:bottom w:val="nil"/>
              <w:right w:val="nil"/>
            </w:tcBorders>
            <w:shd w:val="clear" w:color="auto" w:fill="auto"/>
            <w:noWrap/>
            <w:vAlign w:val="center"/>
            <w:hideMark/>
          </w:tcPr>
          <w:p w:rsidR="00145EB9" w:rsidRPr="00521C18" w:rsidRDefault="00432CF2" w:rsidP="00432CF2">
            <w:pPr>
              <w:jc w:val="right"/>
              <w:rPr>
                <w:color w:val="000000"/>
                <w:highlight w:val="yellow"/>
              </w:rPr>
            </w:pPr>
            <w:r>
              <w:rPr>
                <w:color w:val="000000"/>
                <w:highlight w:val="yellow"/>
              </w:rPr>
              <w:t>0.92</w:t>
            </w:r>
          </w:p>
        </w:tc>
        <w:tc>
          <w:tcPr>
            <w:tcW w:w="1360" w:type="dxa"/>
            <w:tcBorders>
              <w:top w:val="nil"/>
              <w:left w:val="nil"/>
              <w:bottom w:val="nil"/>
              <w:right w:val="nil"/>
            </w:tcBorders>
            <w:shd w:val="clear" w:color="auto" w:fill="auto"/>
            <w:noWrap/>
            <w:vAlign w:val="center"/>
            <w:hideMark/>
          </w:tcPr>
          <w:p w:rsidR="00145EB9" w:rsidRPr="00521C18" w:rsidRDefault="00145EB9" w:rsidP="00432CF2">
            <w:pPr>
              <w:jc w:val="right"/>
              <w:rPr>
                <w:color w:val="000000"/>
                <w:highlight w:val="yellow"/>
              </w:rPr>
            </w:pPr>
            <w:r>
              <w:rPr>
                <w:color w:val="000000"/>
                <w:highlight w:val="yellow"/>
              </w:rPr>
              <w:t>0.</w:t>
            </w:r>
            <w:r w:rsidR="00432CF2">
              <w:rPr>
                <w:color w:val="000000"/>
                <w:highlight w:val="yellow"/>
              </w:rPr>
              <w:t>88</w:t>
            </w:r>
            <w:r w:rsidRPr="00521C18">
              <w:rPr>
                <w:color w:val="000000"/>
                <w:highlight w:val="yellow"/>
              </w:rPr>
              <w:t>-</w:t>
            </w:r>
            <w:r w:rsidR="00432CF2">
              <w:rPr>
                <w:color w:val="000000"/>
                <w:highlight w:val="yellow"/>
              </w:rPr>
              <w:t>0.97</w:t>
            </w:r>
          </w:p>
        </w:tc>
        <w:tc>
          <w:tcPr>
            <w:tcW w:w="1060" w:type="dxa"/>
            <w:tcBorders>
              <w:top w:val="nil"/>
              <w:left w:val="nil"/>
              <w:bottom w:val="nil"/>
              <w:right w:val="nil"/>
            </w:tcBorders>
            <w:shd w:val="clear" w:color="auto" w:fill="auto"/>
            <w:noWrap/>
            <w:vAlign w:val="center"/>
            <w:hideMark/>
          </w:tcPr>
          <w:p w:rsidR="00145EB9" w:rsidRPr="00521C18" w:rsidRDefault="00145EB9" w:rsidP="00432CF2">
            <w:pPr>
              <w:jc w:val="right"/>
              <w:rPr>
                <w:color w:val="000000"/>
                <w:highlight w:val="yellow"/>
              </w:rPr>
            </w:pPr>
            <w:r w:rsidRPr="00521C18">
              <w:rPr>
                <w:color w:val="000000"/>
                <w:highlight w:val="yellow"/>
              </w:rPr>
              <w:t>0.0</w:t>
            </w:r>
            <w:r>
              <w:rPr>
                <w:color w:val="000000"/>
                <w:highlight w:val="yellow"/>
              </w:rPr>
              <w:t>01</w:t>
            </w:r>
            <w:r w:rsidR="00432CF2">
              <w:rPr>
                <w:color w:val="000000"/>
                <w:highlight w:val="yellow"/>
              </w:rPr>
              <w:t>6</w:t>
            </w:r>
          </w:p>
        </w:tc>
        <w:tc>
          <w:tcPr>
            <w:tcW w:w="102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Pr>
                <w:color w:val="000000"/>
                <w:highlight w:val="yellow"/>
              </w:rPr>
              <w:t>0.89</w:t>
            </w:r>
          </w:p>
        </w:tc>
        <w:tc>
          <w:tcPr>
            <w:tcW w:w="160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Pr>
                <w:color w:val="000000"/>
                <w:highlight w:val="yellow"/>
              </w:rPr>
              <w:t>0.84</w:t>
            </w:r>
            <w:r w:rsidRPr="00521C18">
              <w:rPr>
                <w:color w:val="000000"/>
                <w:highlight w:val="yellow"/>
              </w:rPr>
              <w:t>-</w:t>
            </w:r>
            <w:r>
              <w:rPr>
                <w:color w:val="000000"/>
                <w:highlight w:val="yellow"/>
              </w:rPr>
              <w:t>0.94</w:t>
            </w:r>
          </w:p>
        </w:tc>
        <w:tc>
          <w:tcPr>
            <w:tcW w:w="1250" w:type="dxa"/>
            <w:tcBorders>
              <w:top w:val="nil"/>
              <w:left w:val="nil"/>
              <w:bottom w:val="nil"/>
              <w:right w:val="nil"/>
            </w:tcBorders>
            <w:shd w:val="clear" w:color="auto" w:fill="auto"/>
            <w:noWrap/>
            <w:vAlign w:val="center"/>
            <w:hideMark/>
          </w:tcPr>
          <w:p w:rsidR="00145EB9" w:rsidRPr="00521C18" w:rsidRDefault="00145EB9" w:rsidP="00145EB9">
            <w:pPr>
              <w:jc w:val="right"/>
              <w:rPr>
                <w:color w:val="000000"/>
                <w:highlight w:val="yellow"/>
              </w:rPr>
            </w:pPr>
            <w:r>
              <w:rPr>
                <w:color w:val="000000"/>
                <w:highlight w:val="yellow"/>
              </w:rPr>
              <w:t>&lt;</w:t>
            </w:r>
            <w:r w:rsidRPr="00521C18">
              <w:rPr>
                <w:color w:val="000000"/>
                <w:highlight w:val="yellow"/>
              </w:rPr>
              <w:t>0.0</w:t>
            </w:r>
            <w:r>
              <w:rPr>
                <w:color w:val="000000"/>
                <w:highlight w:val="yellow"/>
              </w:rPr>
              <w:t>001</w:t>
            </w:r>
          </w:p>
        </w:tc>
      </w:tr>
      <w:tr w:rsidR="00357530" w:rsidRPr="00357530" w:rsidTr="00BC5838">
        <w:trPr>
          <w:trHeight w:val="315"/>
        </w:trPr>
        <w:tc>
          <w:tcPr>
            <w:tcW w:w="216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 xml:space="preserve">  Neither</w:t>
            </w:r>
          </w:p>
        </w:tc>
        <w:tc>
          <w:tcPr>
            <w:tcW w:w="820" w:type="dxa"/>
            <w:tcBorders>
              <w:top w:val="nil"/>
              <w:left w:val="nil"/>
              <w:bottom w:val="single" w:sz="4" w:space="0" w:color="auto"/>
              <w:right w:val="nil"/>
            </w:tcBorders>
            <w:shd w:val="clear" w:color="auto" w:fill="auto"/>
            <w:vAlign w:val="center"/>
            <w:hideMark/>
          </w:tcPr>
          <w:p w:rsidR="00357530" w:rsidRPr="00521C18" w:rsidRDefault="00357530" w:rsidP="00357530">
            <w:pPr>
              <w:rPr>
                <w:color w:val="000000"/>
                <w:highlight w:val="yellow"/>
              </w:rPr>
            </w:pPr>
            <w:r w:rsidRPr="00521C18">
              <w:rPr>
                <w:color w:val="000000"/>
                <w:highlight w:val="yellow"/>
              </w:rPr>
              <w:t>Ref</w:t>
            </w:r>
          </w:p>
        </w:tc>
        <w:tc>
          <w:tcPr>
            <w:tcW w:w="1360" w:type="dxa"/>
            <w:tcBorders>
              <w:top w:val="nil"/>
              <w:left w:val="nil"/>
              <w:bottom w:val="single" w:sz="4" w:space="0" w:color="auto"/>
              <w:right w:val="nil"/>
            </w:tcBorders>
            <w:shd w:val="clear" w:color="auto" w:fill="auto"/>
            <w:noWrap/>
            <w:vAlign w:val="center"/>
            <w:hideMark/>
          </w:tcPr>
          <w:p w:rsidR="00357530" w:rsidRPr="00521C18" w:rsidRDefault="00357530" w:rsidP="00357530">
            <w:pPr>
              <w:jc w:val="right"/>
              <w:rPr>
                <w:color w:val="000000"/>
                <w:highlight w:val="yellow"/>
              </w:rPr>
            </w:pPr>
            <w:r w:rsidRPr="00521C18">
              <w:rPr>
                <w:color w:val="000000"/>
                <w:highlight w:val="yellow"/>
              </w:rPr>
              <w:t> </w:t>
            </w:r>
          </w:p>
        </w:tc>
        <w:tc>
          <w:tcPr>
            <w:tcW w:w="1060" w:type="dxa"/>
            <w:tcBorders>
              <w:top w:val="nil"/>
              <w:left w:val="nil"/>
              <w:bottom w:val="single" w:sz="4" w:space="0" w:color="auto"/>
              <w:right w:val="nil"/>
            </w:tcBorders>
            <w:shd w:val="clear" w:color="auto" w:fill="auto"/>
            <w:noWrap/>
            <w:vAlign w:val="center"/>
            <w:hideMark/>
          </w:tcPr>
          <w:p w:rsidR="00357530" w:rsidRPr="00521C18" w:rsidRDefault="00357530" w:rsidP="00357530">
            <w:pPr>
              <w:jc w:val="right"/>
              <w:rPr>
                <w:color w:val="000000"/>
                <w:highlight w:val="yellow"/>
              </w:rPr>
            </w:pPr>
            <w:r w:rsidRPr="00521C18">
              <w:rPr>
                <w:color w:val="000000"/>
                <w:highlight w:val="yellow"/>
              </w:rPr>
              <w:t> </w:t>
            </w:r>
          </w:p>
        </w:tc>
        <w:tc>
          <w:tcPr>
            <w:tcW w:w="1020" w:type="dxa"/>
            <w:tcBorders>
              <w:top w:val="nil"/>
              <w:left w:val="nil"/>
              <w:bottom w:val="single" w:sz="4" w:space="0" w:color="auto"/>
              <w:right w:val="nil"/>
            </w:tcBorders>
            <w:shd w:val="clear" w:color="auto" w:fill="auto"/>
            <w:vAlign w:val="center"/>
            <w:hideMark/>
          </w:tcPr>
          <w:p w:rsidR="00357530" w:rsidRPr="00521C18" w:rsidRDefault="00357530" w:rsidP="00357530">
            <w:pPr>
              <w:rPr>
                <w:color w:val="000000"/>
                <w:highlight w:val="yellow"/>
              </w:rPr>
            </w:pPr>
            <w:r w:rsidRPr="00521C18">
              <w:rPr>
                <w:color w:val="000000"/>
                <w:highlight w:val="yellow"/>
              </w:rPr>
              <w:t>Ref</w:t>
            </w:r>
          </w:p>
        </w:tc>
        <w:tc>
          <w:tcPr>
            <w:tcW w:w="1600" w:type="dxa"/>
            <w:tcBorders>
              <w:top w:val="nil"/>
              <w:left w:val="nil"/>
              <w:bottom w:val="single" w:sz="4" w:space="0" w:color="auto"/>
              <w:right w:val="nil"/>
            </w:tcBorders>
            <w:shd w:val="clear" w:color="auto" w:fill="auto"/>
            <w:noWrap/>
            <w:vAlign w:val="center"/>
            <w:hideMark/>
          </w:tcPr>
          <w:p w:rsidR="00357530" w:rsidRPr="00521C18" w:rsidRDefault="00357530" w:rsidP="00357530">
            <w:pPr>
              <w:jc w:val="right"/>
              <w:rPr>
                <w:color w:val="000000"/>
                <w:highlight w:val="yellow"/>
              </w:rPr>
            </w:pPr>
            <w:r w:rsidRPr="00521C18">
              <w:rPr>
                <w:color w:val="000000"/>
                <w:highlight w:val="yellow"/>
              </w:rPr>
              <w:t> </w:t>
            </w:r>
          </w:p>
        </w:tc>
        <w:tc>
          <w:tcPr>
            <w:tcW w:w="1250" w:type="dxa"/>
            <w:tcBorders>
              <w:top w:val="nil"/>
              <w:left w:val="nil"/>
              <w:bottom w:val="single" w:sz="4" w:space="0" w:color="auto"/>
              <w:right w:val="nil"/>
            </w:tcBorders>
            <w:shd w:val="clear" w:color="auto" w:fill="auto"/>
            <w:noWrap/>
            <w:vAlign w:val="center"/>
            <w:hideMark/>
          </w:tcPr>
          <w:p w:rsidR="00357530" w:rsidRPr="00521C18" w:rsidRDefault="00357530" w:rsidP="00357530">
            <w:pPr>
              <w:jc w:val="right"/>
              <w:rPr>
                <w:color w:val="000000"/>
                <w:highlight w:val="yellow"/>
              </w:rPr>
            </w:pPr>
            <w:r w:rsidRPr="00521C18">
              <w:rPr>
                <w:color w:val="000000"/>
                <w:highlight w:val="yellow"/>
              </w:rPr>
              <w:t> </w:t>
            </w:r>
          </w:p>
        </w:tc>
      </w:tr>
      <w:tr w:rsidR="00357530" w:rsidRPr="00357530" w:rsidTr="00BC5838">
        <w:trPr>
          <w:trHeight w:val="315"/>
        </w:trPr>
        <w:tc>
          <w:tcPr>
            <w:tcW w:w="21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p>
        </w:tc>
        <w:tc>
          <w:tcPr>
            <w:tcW w:w="3240" w:type="dxa"/>
            <w:gridSpan w:val="3"/>
            <w:tcBorders>
              <w:top w:val="single" w:sz="4" w:space="0" w:color="auto"/>
              <w:left w:val="nil"/>
              <w:bottom w:val="nil"/>
              <w:right w:val="nil"/>
            </w:tcBorders>
            <w:shd w:val="clear" w:color="auto" w:fill="auto"/>
            <w:vAlign w:val="center"/>
            <w:hideMark/>
          </w:tcPr>
          <w:p w:rsidR="00357530" w:rsidRPr="00521C18" w:rsidRDefault="00357530" w:rsidP="00357530">
            <w:pPr>
              <w:rPr>
                <w:b/>
                <w:bCs/>
                <w:color w:val="000000"/>
                <w:highlight w:val="yellow"/>
              </w:rPr>
            </w:pPr>
            <w:r w:rsidRPr="00521C18">
              <w:rPr>
                <w:b/>
                <w:bCs/>
                <w:color w:val="000000"/>
                <w:highlight w:val="yellow"/>
              </w:rPr>
              <w:t>Inpatient Death</w:t>
            </w:r>
          </w:p>
        </w:tc>
        <w:tc>
          <w:tcPr>
            <w:tcW w:w="3870" w:type="dxa"/>
            <w:gridSpan w:val="3"/>
            <w:tcBorders>
              <w:top w:val="single" w:sz="4" w:space="0" w:color="auto"/>
              <w:left w:val="nil"/>
              <w:bottom w:val="nil"/>
              <w:right w:val="nil"/>
            </w:tcBorders>
            <w:shd w:val="clear" w:color="auto" w:fill="auto"/>
            <w:vAlign w:val="center"/>
            <w:hideMark/>
          </w:tcPr>
          <w:p w:rsidR="00357530" w:rsidRPr="00521C18" w:rsidRDefault="00357530" w:rsidP="00357530">
            <w:pPr>
              <w:jc w:val="center"/>
              <w:rPr>
                <w:b/>
                <w:bCs/>
                <w:color w:val="000000"/>
                <w:highlight w:val="yellow"/>
              </w:rPr>
            </w:pPr>
            <w:r w:rsidRPr="00521C18">
              <w:rPr>
                <w:b/>
                <w:bCs/>
                <w:color w:val="000000"/>
                <w:highlight w:val="yellow"/>
              </w:rPr>
              <w:t>Inpatient Death</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w:t>
            </w:r>
            <w:r w:rsidRPr="00357530">
              <w:rPr>
                <w:b/>
                <w:bCs/>
                <w:color w:val="000000"/>
              </w:rPr>
              <w:t>Vaccination Status</w:t>
            </w:r>
          </w:p>
        </w:tc>
        <w:tc>
          <w:tcPr>
            <w:tcW w:w="820" w:type="dxa"/>
            <w:tcBorders>
              <w:top w:val="nil"/>
              <w:left w:val="nil"/>
              <w:bottom w:val="nil"/>
              <w:right w:val="nil"/>
            </w:tcBorders>
            <w:shd w:val="clear" w:color="auto" w:fill="auto"/>
            <w:vAlign w:val="center"/>
            <w:hideMark/>
          </w:tcPr>
          <w:p w:rsidR="00357530" w:rsidRPr="00521C18" w:rsidRDefault="002C4523" w:rsidP="00357530">
            <w:pPr>
              <w:jc w:val="center"/>
              <w:rPr>
                <w:color w:val="000000"/>
                <w:highlight w:val="yellow"/>
              </w:rPr>
            </w:pPr>
            <w:r>
              <w:rPr>
                <w:color w:val="000000"/>
                <w:highlight w:val="yellow"/>
              </w:rPr>
              <w:t>O</w:t>
            </w:r>
            <w:r w:rsidR="00357530" w:rsidRPr="00521C18">
              <w:rPr>
                <w:color w:val="000000"/>
                <w:highlight w:val="yellow"/>
              </w:rPr>
              <w:t>R</w:t>
            </w:r>
          </w:p>
        </w:tc>
        <w:tc>
          <w:tcPr>
            <w:tcW w:w="136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95% CI</w:t>
            </w:r>
          </w:p>
        </w:tc>
        <w:tc>
          <w:tcPr>
            <w:tcW w:w="106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P-value</w:t>
            </w:r>
          </w:p>
        </w:tc>
        <w:tc>
          <w:tcPr>
            <w:tcW w:w="1020" w:type="dxa"/>
            <w:tcBorders>
              <w:top w:val="nil"/>
              <w:left w:val="nil"/>
              <w:bottom w:val="nil"/>
              <w:right w:val="nil"/>
            </w:tcBorders>
            <w:shd w:val="clear" w:color="auto" w:fill="auto"/>
            <w:vAlign w:val="center"/>
            <w:hideMark/>
          </w:tcPr>
          <w:p w:rsidR="00357530" w:rsidRPr="00521C18" w:rsidRDefault="00521C18" w:rsidP="00357530">
            <w:pPr>
              <w:jc w:val="center"/>
              <w:rPr>
                <w:color w:val="000000"/>
                <w:highlight w:val="yellow"/>
              </w:rPr>
            </w:pPr>
            <w:r w:rsidRPr="00521C18">
              <w:rPr>
                <w:color w:val="000000"/>
                <w:highlight w:val="yellow"/>
              </w:rPr>
              <w:t>O</w:t>
            </w:r>
            <w:r w:rsidR="00357530" w:rsidRPr="00521C18">
              <w:rPr>
                <w:color w:val="000000"/>
                <w:highlight w:val="yellow"/>
              </w:rPr>
              <w:t>R</w:t>
            </w:r>
          </w:p>
        </w:tc>
        <w:tc>
          <w:tcPr>
            <w:tcW w:w="160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95% CI</w:t>
            </w:r>
          </w:p>
        </w:tc>
        <w:tc>
          <w:tcPr>
            <w:tcW w:w="1250" w:type="dxa"/>
            <w:tcBorders>
              <w:top w:val="nil"/>
              <w:left w:val="nil"/>
              <w:bottom w:val="nil"/>
              <w:right w:val="nil"/>
            </w:tcBorders>
            <w:shd w:val="clear" w:color="auto" w:fill="auto"/>
            <w:vAlign w:val="center"/>
            <w:hideMark/>
          </w:tcPr>
          <w:p w:rsidR="00357530" w:rsidRPr="00521C18" w:rsidRDefault="00357530" w:rsidP="00357530">
            <w:pPr>
              <w:jc w:val="center"/>
              <w:rPr>
                <w:color w:val="000000"/>
                <w:highlight w:val="yellow"/>
              </w:rPr>
            </w:pPr>
            <w:r w:rsidRPr="00521C18">
              <w:rPr>
                <w:color w:val="000000"/>
                <w:highlight w:val="yellow"/>
              </w:rPr>
              <w:t>P-value</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PV in previous 5 Years</w:t>
            </w:r>
          </w:p>
        </w:tc>
        <w:tc>
          <w:tcPr>
            <w:tcW w:w="820" w:type="dxa"/>
            <w:tcBorders>
              <w:top w:val="nil"/>
              <w:left w:val="nil"/>
              <w:bottom w:val="nil"/>
              <w:right w:val="nil"/>
            </w:tcBorders>
            <w:shd w:val="clear" w:color="auto" w:fill="auto"/>
            <w:noWrap/>
            <w:vAlign w:val="center"/>
            <w:hideMark/>
          </w:tcPr>
          <w:p w:rsidR="00357530" w:rsidRPr="00521C18" w:rsidRDefault="00BF02B9" w:rsidP="00357530">
            <w:pPr>
              <w:jc w:val="right"/>
              <w:rPr>
                <w:color w:val="000000"/>
                <w:highlight w:val="yellow"/>
              </w:rPr>
            </w:pPr>
            <w:r>
              <w:rPr>
                <w:color w:val="000000"/>
                <w:highlight w:val="yellow"/>
              </w:rPr>
              <w:t>1.08</w:t>
            </w:r>
          </w:p>
        </w:tc>
        <w:tc>
          <w:tcPr>
            <w:tcW w:w="1360" w:type="dxa"/>
            <w:tcBorders>
              <w:top w:val="nil"/>
              <w:left w:val="nil"/>
              <w:bottom w:val="nil"/>
              <w:right w:val="nil"/>
            </w:tcBorders>
            <w:shd w:val="clear" w:color="auto" w:fill="auto"/>
            <w:noWrap/>
            <w:vAlign w:val="center"/>
            <w:hideMark/>
          </w:tcPr>
          <w:p w:rsidR="00357530" w:rsidRPr="00521C18" w:rsidRDefault="00357530" w:rsidP="00BF02B9">
            <w:pPr>
              <w:jc w:val="right"/>
              <w:rPr>
                <w:color w:val="000000"/>
                <w:highlight w:val="yellow"/>
              </w:rPr>
            </w:pPr>
            <w:r w:rsidRPr="00521C18">
              <w:rPr>
                <w:color w:val="000000"/>
                <w:highlight w:val="yellow"/>
              </w:rPr>
              <w:t>0.</w:t>
            </w:r>
            <w:r w:rsidR="00BF02B9">
              <w:rPr>
                <w:color w:val="000000"/>
                <w:highlight w:val="yellow"/>
              </w:rPr>
              <w:t>81</w:t>
            </w:r>
            <w:r w:rsidRPr="00521C18">
              <w:rPr>
                <w:color w:val="000000"/>
                <w:highlight w:val="yellow"/>
              </w:rPr>
              <w:t>-1.4</w:t>
            </w:r>
            <w:r w:rsidR="00BF02B9">
              <w:rPr>
                <w:color w:val="000000"/>
                <w:highlight w:val="yellow"/>
              </w:rPr>
              <w:t>3</w:t>
            </w:r>
          </w:p>
        </w:tc>
        <w:tc>
          <w:tcPr>
            <w:tcW w:w="1060" w:type="dxa"/>
            <w:tcBorders>
              <w:top w:val="nil"/>
              <w:left w:val="nil"/>
              <w:bottom w:val="nil"/>
              <w:right w:val="nil"/>
            </w:tcBorders>
            <w:shd w:val="clear" w:color="auto" w:fill="auto"/>
            <w:noWrap/>
            <w:vAlign w:val="center"/>
            <w:hideMark/>
          </w:tcPr>
          <w:p w:rsidR="00357530" w:rsidRPr="00521C18" w:rsidRDefault="00BF02B9" w:rsidP="00BF02B9">
            <w:pPr>
              <w:jc w:val="right"/>
              <w:rPr>
                <w:color w:val="000000"/>
                <w:highlight w:val="yellow"/>
              </w:rPr>
            </w:pPr>
            <w:r>
              <w:rPr>
                <w:color w:val="000000"/>
                <w:highlight w:val="yellow"/>
              </w:rPr>
              <w:t>0.</w:t>
            </w:r>
            <w:r w:rsidR="00357530" w:rsidRPr="00521C18">
              <w:rPr>
                <w:color w:val="000000"/>
                <w:highlight w:val="yellow"/>
              </w:rPr>
              <w:t>6</w:t>
            </w:r>
            <w:r>
              <w:rPr>
                <w:color w:val="000000"/>
                <w:highlight w:val="yellow"/>
              </w:rPr>
              <w:t>151</w:t>
            </w:r>
          </w:p>
        </w:tc>
        <w:tc>
          <w:tcPr>
            <w:tcW w:w="102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1.0</w:t>
            </w:r>
            <w:r w:rsidR="00BB7977">
              <w:rPr>
                <w:color w:val="000000"/>
                <w:highlight w:val="yellow"/>
              </w:rPr>
              <w:t>8</w:t>
            </w:r>
          </w:p>
        </w:tc>
        <w:tc>
          <w:tcPr>
            <w:tcW w:w="160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0.8</w:t>
            </w:r>
            <w:r w:rsidR="00BB7977">
              <w:rPr>
                <w:color w:val="000000"/>
                <w:highlight w:val="yellow"/>
              </w:rPr>
              <w:t>0</w:t>
            </w:r>
            <w:r w:rsidRPr="00521C18">
              <w:rPr>
                <w:color w:val="000000"/>
                <w:highlight w:val="yellow"/>
              </w:rPr>
              <w:t>-1.4</w:t>
            </w:r>
            <w:r w:rsidR="00BB7977">
              <w:rPr>
                <w:color w:val="000000"/>
                <w:highlight w:val="yellow"/>
              </w:rPr>
              <w:t>5</w:t>
            </w:r>
          </w:p>
        </w:tc>
        <w:tc>
          <w:tcPr>
            <w:tcW w:w="125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w:t>
            </w:r>
            <w:r w:rsidR="00BB7977">
              <w:rPr>
                <w:color w:val="000000"/>
                <w:highlight w:val="yellow"/>
              </w:rPr>
              <w:t>6089</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FV last year</w:t>
            </w:r>
          </w:p>
        </w:tc>
        <w:tc>
          <w:tcPr>
            <w:tcW w:w="820" w:type="dxa"/>
            <w:tcBorders>
              <w:top w:val="nil"/>
              <w:left w:val="nil"/>
              <w:bottom w:val="nil"/>
              <w:right w:val="nil"/>
            </w:tcBorders>
            <w:shd w:val="clear" w:color="auto" w:fill="auto"/>
            <w:noWrap/>
            <w:vAlign w:val="center"/>
            <w:hideMark/>
          </w:tcPr>
          <w:p w:rsidR="00357530" w:rsidRPr="00521C18" w:rsidRDefault="00357530" w:rsidP="00BF02B9">
            <w:pPr>
              <w:jc w:val="right"/>
              <w:rPr>
                <w:color w:val="000000"/>
                <w:highlight w:val="yellow"/>
              </w:rPr>
            </w:pPr>
            <w:r w:rsidRPr="00521C18">
              <w:rPr>
                <w:color w:val="000000"/>
                <w:highlight w:val="yellow"/>
              </w:rPr>
              <w:t>0.</w:t>
            </w:r>
            <w:r w:rsidR="00BF02B9">
              <w:rPr>
                <w:color w:val="000000"/>
                <w:highlight w:val="yellow"/>
              </w:rPr>
              <w:t>99</w:t>
            </w:r>
          </w:p>
        </w:tc>
        <w:tc>
          <w:tcPr>
            <w:tcW w:w="1360" w:type="dxa"/>
            <w:tcBorders>
              <w:top w:val="nil"/>
              <w:left w:val="nil"/>
              <w:bottom w:val="nil"/>
              <w:right w:val="nil"/>
            </w:tcBorders>
            <w:shd w:val="clear" w:color="auto" w:fill="auto"/>
            <w:noWrap/>
            <w:vAlign w:val="center"/>
            <w:hideMark/>
          </w:tcPr>
          <w:p w:rsidR="00357530" w:rsidRPr="00521C18" w:rsidRDefault="00BF02B9" w:rsidP="00357530">
            <w:pPr>
              <w:jc w:val="right"/>
              <w:rPr>
                <w:color w:val="000000"/>
                <w:highlight w:val="yellow"/>
              </w:rPr>
            </w:pPr>
            <w:r>
              <w:rPr>
                <w:color w:val="000000"/>
                <w:highlight w:val="yellow"/>
              </w:rPr>
              <w:t>0.74-1.33</w:t>
            </w:r>
          </w:p>
        </w:tc>
        <w:tc>
          <w:tcPr>
            <w:tcW w:w="1060" w:type="dxa"/>
            <w:tcBorders>
              <w:top w:val="nil"/>
              <w:left w:val="nil"/>
              <w:bottom w:val="nil"/>
              <w:right w:val="nil"/>
            </w:tcBorders>
            <w:shd w:val="clear" w:color="auto" w:fill="auto"/>
            <w:noWrap/>
            <w:vAlign w:val="center"/>
            <w:hideMark/>
          </w:tcPr>
          <w:p w:rsidR="00357530" w:rsidRPr="00521C18" w:rsidRDefault="00357530" w:rsidP="00BF02B9">
            <w:pPr>
              <w:jc w:val="right"/>
              <w:rPr>
                <w:color w:val="000000"/>
                <w:highlight w:val="yellow"/>
              </w:rPr>
            </w:pPr>
            <w:r w:rsidRPr="00521C18">
              <w:rPr>
                <w:color w:val="000000"/>
                <w:highlight w:val="yellow"/>
              </w:rPr>
              <w:t>0.</w:t>
            </w:r>
            <w:r w:rsidR="00BF02B9">
              <w:rPr>
                <w:color w:val="000000"/>
                <w:highlight w:val="yellow"/>
              </w:rPr>
              <w:t>9540</w:t>
            </w:r>
          </w:p>
        </w:tc>
        <w:tc>
          <w:tcPr>
            <w:tcW w:w="102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0.9</w:t>
            </w:r>
            <w:r w:rsidR="00BB7977">
              <w:rPr>
                <w:color w:val="000000"/>
                <w:highlight w:val="yellow"/>
              </w:rPr>
              <w:t>8</w:t>
            </w:r>
          </w:p>
        </w:tc>
        <w:tc>
          <w:tcPr>
            <w:tcW w:w="160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0.7</w:t>
            </w:r>
            <w:r w:rsidR="00BB7977">
              <w:rPr>
                <w:color w:val="000000"/>
                <w:highlight w:val="yellow"/>
              </w:rPr>
              <w:t>3</w:t>
            </w:r>
            <w:r w:rsidRPr="00521C18">
              <w:rPr>
                <w:color w:val="000000"/>
                <w:highlight w:val="yellow"/>
              </w:rPr>
              <w:t>-1.</w:t>
            </w:r>
            <w:r w:rsidR="00BB7977">
              <w:rPr>
                <w:color w:val="000000"/>
                <w:highlight w:val="yellow"/>
              </w:rPr>
              <w:t>32</w:t>
            </w:r>
          </w:p>
        </w:tc>
        <w:tc>
          <w:tcPr>
            <w:tcW w:w="125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w:t>
            </w:r>
            <w:r w:rsidR="00BB7977">
              <w:rPr>
                <w:color w:val="000000"/>
                <w:highlight w:val="yellow"/>
              </w:rPr>
              <w:t>8947</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Both</w:t>
            </w:r>
          </w:p>
        </w:tc>
        <w:tc>
          <w:tcPr>
            <w:tcW w:w="820" w:type="dxa"/>
            <w:tcBorders>
              <w:top w:val="nil"/>
              <w:left w:val="nil"/>
              <w:bottom w:val="nil"/>
              <w:right w:val="nil"/>
            </w:tcBorders>
            <w:shd w:val="clear" w:color="auto" w:fill="auto"/>
            <w:noWrap/>
            <w:vAlign w:val="center"/>
            <w:hideMark/>
          </w:tcPr>
          <w:p w:rsidR="00357530" w:rsidRPr="00521C18" w:rsidRDefault="00357530" w:rsidP="00BF02B9">
            <w:pPr>
              <w:jc w:val="right"/>
              <w:rPr>
                <w:color w:val="000000"/>
                <w:highlight w:val="yellow"/>
              </w:rPr>
            </w:pPr>
            <w:r w:rsidRPr="00521C18">
              <w:rPr>
                <w:color w:val="000000"/>
                <w:highlight w:val="yellow"/>
              </w:rPr>
              <w:t>1.0</w:t>
            </w:r>
            <w:r w:rsidR="00BF02B9">
              <w:rPr>
                <w:color w:val="000000"/>
                <w:highlight w:val="yellow"/>
              </w:rPr>
              <w:t>1</w:t>
            </w:r>
          </w:p>
        </w:tc>
        <w:tc>
          <w:tcPr>
            <w:tcW w:w="1360" w:type="dxa"/>
            <w:tcBorders>
              <w:top w:val="nil"/>
              <w:left w:val="nil"/>
              <w:bottom w:val="nil"/>
              <w:right w:val="nil"/>
            </w:tcBorders>
            <w:shd w:val="clear" w:color="auto" w:fill="auto"/>
            <w:noWrap/>
            <w:vAlign w:val="center"/>
            <w:hideMark/>
          </w:tcPr>
          <w:p w:rsidR="00357530" w:rsidRPr="00521C18" w:rsidRDefault="00BF02B9" w:rsidP="00BF02B9">
            <w:pPr>
              <w:jc w:val="right"/>
              <w:rPr>
                <w:color w:val="000000"/>
                <w:highlight w:val="yellow"/>
              </w:rPr>
            </w:pPr>
            <w:r>
              <w:rPr>
                <w:color w:val="000000"/>
                <w:highlight w:val="yellow"/>
              </w:rPr>
              <w:t>0.75</w:t>
            </w:r>
            <w:r w:rsidR="00357530" w:rsidRPr="00521C18">
              <w:rPr>
                <w:color w:val="000000"/>
                <w:highlight w:val="yellow"/>
              </w:rPr>
              <w:t>-1.3</w:t>
            </w:r>
            <w:r>
              <w:rPr>
                <w:color w:val="000000"/>
                <w:highlight w:val="yellow"/>
              </w:rPr>
              <w:t>7</w:t>
            </w:r>
          </w:p>
        </w:tc>
        <w:tc>
          <w:tcPr>
            <w:tcW w:w="1060" w:type="dxa"/>
            <w:tcBorders>
              <w:top w:val="nil"/>
              <w:left w:val="nil"/>
              <w:bottom w:val="nil"/>
              <w:right w:val="nil"/>
            </w:tcBorders>
            <w:shd w:val="clear" w:color="auto" w:fill="auto"/>
            <w:noWrap/>
            <w:vAlign w:val="center"/>
            <w:hideMark/>
          </w:tcPr>
          <w:p w:rsidR="00357530" w:rsidRPr="00521C18" w:rsidRDefault="00357530" w:rsidP="00BF02B9">
            <w:pPr>
              <w:jc w:val="right"/>
              <w:rPr>
                <w:color w:val="000000"/>
                <w:highlight w:val="yellow"/>
              </w:rPr>
            </w:pPr>
            <w:r w:rsidRPr="00521C18">
              <w:rPr>
                <w:color w:val="000000"/>
                <w:highlight w:val="yellow"/>
              </w:rPr>
              <w:t>0.</w:t>
            </w:r>
            <w:r w:rsidR="00BF02B9">
              <w:rPr>
                <w:color w:val="000000"/>
                <w:highlight w:val="yellow"/>
              </w:rPr>
              <w:t>9288</w:t>
            </w:r>
          </w:p>
        </w:tc>
        <w:tc>
          <w:tcPr>
            <w:tcW w:w="1020" w:type="dxa"/>
            <w:tcBorders>
              <w:top w:val="nil"/>
              <w:left w:val="nil"/>
              <w:bottom w:val="nil"/>
              <w:right w:val="nil"/>
            </w:tcBorders>
            <w:shd w:val="clear" w:color="auto" w:fill="auto"/>
            <w:noWrap/>
            <w:vAlign w:val="center"/>
            <w:hideMark/>
          </w:tcPr>
          <w:p w:rsidR="00357530" w:rsidRPr="00521C18" w:rsidRDefault="00BB7977" w:rsidP="00357530">
            <w:pPr>
              <w:jc w:val="right"/>
              <w:rPr>
                <w:color w:val="000000"/>
                <w:highlight w:val="yellow"/>
              </w:rPr>
            </w:pPr>
            <w:r>
              <w:rPr>
                <w:color w:val="000000"/>
                <w:highlight w:val="yellow"/>
              </w:rPr>
              <w:t>1.01</w:t>
            </w:r>
          </w:p>
        </w:tc>
        <w:tc>
          <w:tcPr>
            <w:tcW w:w="160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w:t>
            </w:r>
            <w:r w:rsidR="00BB7977">
              <w:rPr>
                <w:color w:val="000000"/>
                <w:highlight w:val="yellow"/>
              </w:rPr>
              <w:t>7</w:t>
            </w:r>
            <w:r w:rsidRPr="00521C18">
              <w:rPr>
                <w:color w:val="000000"/>
                <w:highlight w:val="yellow"/>
              </w:rPr>
              <w:t>5-1.</w:t>
            </w:r>
            <w:r w:rsidR="00BB7977">
              <w:rPr>
                <w:color w:val="000000"/>
                <w:highlight w:val="yellow"/>
              </w:rPr>
              <w:t>35</w:t>
            </w:r>
          </w:p>
        </w:tc>
        <w:tc>
          <w:tcPr>
            <w:tcW w:w="1250" w:type="dxa"/>
            <w:tcBorders>
              <w:top w:val="nil"/>
              <w:left w:val="nil"/>
              <w:bottom w:val="nil"/>
              <w:right w:val="nil"/>
            </w:tcBorders>
            <w:shd w:val="clear" w:color="auto" w:fill="auto"/>
            <w:noWrap/>
            <w:vAlign w:val="center"/>
            <w:hideMark/>
          </w:tcPr>
          <w:p w:rsidR="00357530" w:rsidRPr="00521C18" w:rsidRDefault="00357530" w:rsidP="00BB7977">
            <w:pPr>
              <w:jc w:val="right"/>
              <w:rPr>
                <w:color w:val="000000"/>
                <w:highlight w:val="yellow"/>
              </w:rPr>
            </w:pPr>
            <w:r w:rsidRPr="00521C18">
              <w:rPr>
                <w:color w:val="000000"/>
                <w:highlight w:val="yellow"/>
              </w:rPr>
              <w:t>0.</w:t>
            </w:r>
            <w:r w:rsidR="00BB7977">
              <w:rPr>
                <w:color w:val="000000"/>
                <w:highlight w:val="yellow"/>
              </w:rPr>
              <w:t>9713</w:t>
            </w:r>
          </w:p>
        </w:tc>
      </w:tr>
      <w:tr w:rsidR="00357530" w:rsidRPr="00357530" w:rsidTr="00BC5838">
        <w:trPr>
          <w:trHeight w:val="315"/>
        </w:trPr>
        <w:tc>
          <w:tcPr>
            <w:tcW w:w="216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 xml:space="preserve">  Neither</w:t>
            </w:r>
          </w:p>
        </w:tc>
        <w:tc>
          <w:tcPr>
            <w:tcW w:w="82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36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6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2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60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25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jc w:val="right"/>
              <w:rPr>
                <w:color w:val="000000"/>
              </w:rPr>
            </w:pPr>
          </w:p>
        </w:tc>
        <w:tc>
          <w:tcPr>
            <w:tcW w:w="3240" w:type="dxa"/>
            <w:gridSpan w:val="3"/>
            <w:tcBorders>
              <w:top w:val="single" w:sz="4" w:space="0" w:color="auto"/>
              <w:left w:val="nil"/>
              <w:bottom w:val="nil"/>
              <w:right w:val="nil"/>
            </w:tcBorders>
            <w:shd w:val="clear" w:color="auto" w:fill="auto"/>
            <w:vAlign w:val="center"/>
            <w:hideMark/>
          </w:tcPr>
          <w:p w:rsidR="00357530" w:rsidRPr="00357530" w:rsidRDefault="00357530" w:rsidP="00357530">
            <w:pPr>
              <w:rPr>
                <w:b/>
                <w:bCs/>
                <w:color w:val="000000"/>
              </w:rPr>
            </w:pPr>
            <w:r w:rsidRPr="00357530">
              <w:rPr>
                <w:b/>
                <w:bCs/>
                <w:color w:val="000000"/>
              </w:rPr>
              <w:t>Bacteremia</w:t>
            </w:r>
          </w:p>
        </w:tc>
        <w:tc>
          <w:tcPr>
            <w:tcW w:w="3870" w:type="dxa"/>
            <w:gridSpan w:val="3"/>
            <w:tcBorders>
              <w:top w:val="single" w:sz="4" w:space="0" w:color="auto"/>
              <w:left w:val="nil"/>
              <w:bottom w:val="nil"/>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Bacteremia</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w:t>
            </w:r>
            <w:r w:rsidRPr="00357530">
              <w:rPr>
                <w:b/>
                <w:bCs/>
                <w:color w:val="000000"/>
              </w:rPr>
              <w:t>Vaccination Status</w:t>
            </w:r>
          </w:p>
        </w:tc>
        <w:tc>
          <w:tcPr>
            <w:tcW w:w="82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OR</w:t>
            </w:r>
          </w:p>
        </w:tc>
        <w:tc>
          <w:tcPr>
            <w:tcW w:w="136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95% CI</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center"/>
              <w:rPr>
                <w:color w:val="000000"/>
              </w:rPr>
            </w:pPr>
          </w:p>
        </w:tc>
        <w:tc>
          <w:tcPr>
            <w:tcW w:w="1020" w:type="dxa"/>
            <w:tcBorders>
              <w:top w:val="nil"/>
              <w:left w:val="nil"/>
              <w:bottom w:val="nil"/>
              <w:right w:val="nil"/>
            </w:tcBorders>
            <w:shd w:val="clear" w:color="auto" w:fill="auto"/>
            <w:vAlign w:val="center"/>
            <w:hideMark/>
          </w:tcPr>
          <w:p w:rsidR="00357530" w:rsidRPr="00357530" w:rsidRDefault="00357530" w:rsidP="002C4523">
            <w:pPr>
              <w:jc w:val="center"/>
              <w:rPr>
                <w:color w:val="000000"/>
              </w:rPr>
            </w:pPr>
            <w:r w:rsidRPr="00357530">
              <w:rPr>
                <w:color w:val="000000"/>
              </w:rPr>
              <w:t> OR</w:t>
            </w:r>
          </w:p>
        </w:tc>
        <w:tc>
          <w:tcPr>
            <w:tcW w:w="160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95% CI</w:t>
            </w:r>
          </w:p>
        </w:tc>
        <w:tc>
          <w:tcPr>
            <w:tcW w:w="125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P-value</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PV in previous 5 Years</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0.68</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0.45-1.03</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0.0708</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0.72</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0.45-1.16</w:t>
            </w:r>
          </w:p>
        </w:tc>
        <w:tc>
          <w:tcPr>
            <w:tcW w:w="125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0.1812</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FV last year</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1.03</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0.71-1.48</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0.8796</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1.01</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0.67-1.53</w:t>
            </w:r>
          </w:p>
        </w:tc>
        <w:tc>
          <w:tcPr>
            <w:tcW w:w="125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0.9564</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Both</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0.73</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0.49-1.10</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0.1364</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0.76</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0.48-1.18</w:t>
            </w:r>
          </w:p>
        </w:tc>
        <w:tc>
          <w:tcPr>
            <w:tcW w:w="125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0.2199</w:t>
            </w:r>
          </w:p>
        </w:tc>
      </w:tr>
      <w:tr w:rsidR="00357530" w:rsidRPr="00357530" w:rsidTr="00BC5838">
        <w:trPr>
          <w:trHeight w:val="315"/>
        </w:trPr>
        <w:tc>
          <w:tcPr>
            <w:tcW w:w="216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 xml:space="preserve">  Neither</w:t>
            </w:r>
          </w:p>
        </w:tc>
        <w:tc>
          <w:tcPr>
            <w:tcW w:w="82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36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6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20" w:type="dxa"/>
            <w:tcBorders>
              <w:top w:val="nil"/>
              <w:left w:val="nil"/>
              <w:bottom w:val="single" w:sz="4"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60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250" w:type="dxa"/>
            <w:tcBorders>
              <w:top w:val="nil"/>
              <w:left w:val="nil"/>
              <w:bottom w:val="single" w:sz="4"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r>
      <w:tr w:rsidR="00357530" w:rsidRPr="00357530" w:rsidTr="00BC5838">
        <w:trPr>
          <w:trHeight w:val="315"/>
        </w:trPr>
        <w:tc>
          <w:tcPr>
            <w:tcW w:w="21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p>
        </w:tc>
        <w:tc>
          <w:tcPr>
            <w:tcW w:w="3240" w:type="dxa"/>
            <w:gridSpan w:val="3"/>
            <w:tcBorders>
              <w:top w:val="single" w:sz="4" w:space="0" w:color="auto"/>
              <w:left w:val="nil"/>
              <w:bottom w:val="nil"/>
              <w:right w:val="nil"/>
            </w:tcBorders>
            <w:shd w:val="clear" w:color="auto" w:fill="auto"/>
            <w:vAlign w:val="center"/>
            <w:hideMark/>
          </w:tcPr>
          <w:p w:rsidR="00357530" w:rsidRPr="00357530" w:rsidRDefault="00357530" w:rsidP="00357530">
            <w:pPr>
              <w:rPr>
                <w:b/>
                <w:bCs/>
                <w:color w:val="000000"/>
              </w:rPr>
            </w:pPr>
            <w:r w:rsidRPr="00357530">
              <w:rPr>
                <w:b/>
                <w:bCs/>
                <w:color w:val="000000"/>
              </w:rPr>
              <w:t>Respiratory Complications</w:t>
            </w:r>
          </w:p>
        </w:tc>
        <w:tc>
          <w:tcPr>
            <w:tcW w:w="3870" w:type="dxa"/>
            <w:gridSpan w:val="3"/>
            <w:tcBorders>
              <w:top w:val="single" w:sz="4" w:space="0" w:color="auto"/>
              <w:left w:val="nil"/>
              <w:bottom w:val="nil"/>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Respiratory Complications</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w:t>
            </w:r>
            <w:r w:rsidRPr="00357530">
              <w:rPr>
                <w:b/>
                <w:bCs/>
                <w:color w:val="000000"/>
              </w:rPr>
              <w:t>Vaccination Status</w:t>
            </w:r>
          </w:p>
        </w:tc>
        <w:tc>
          <w:tcPr>
            <w:tcW w:w="82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OR</w:t>
            </w:r>
          </w:p>
        </w:tc>
        <w:tc>
          <w:tcPr>
            <w:tcW w:w="136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95% CI</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center"/>
              <w:rPr>
                <w:color w:val="000000"/>
              </w:rPr>
            </w:pPr>
          </w:p>
        </w:tc>
        <w:tc>
          <w:tcPr>
            <w:tcW w:w="1020" w:type="dxa"/>
            <w:tcBorders>
              <w:top w:val="nil"/>
              <w:left w:val="nil"/>
              <w:bottom w:val="nil"/>
              <w:right w:val="nil"/>
            </w:tcBorders>
            <w:shd w:val="clear" w:color="auto" w:fill="auto"/>
            <w:vAlign w:val="center"/>
            <w:hideMark/>
          </w:tcPr>
          <w:p w:rsidR="00357530" w:rsidRPr="00357530" w:rsidRDefault="00357530" w:rsidP="002C4523">
            <w:pPr>
              <w:jc w:val="center"/>
              <w:rPr>
                <w:color w:val="000000"/>
              </w:rPr>
            </w:pPr>
            <w:r w:rsidRPr="00357530">
              <w:rPr>
                <w:color w:val="000000"/>
              </w:rPr>
              <w:t> OR</w:t>
            </w:r>
          </w:p>
        </w:tc>
        <w:tc>
          <w:tcPr>
            <w:tcW w:w="160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95% CI</w:t>
            </w:r>
          </w:p>
        </w:tc>
        <w:tc>
          <w:tcPr>
            <w:tcW w:w="1250"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P-value</w:t>
            </w:r>
          </w:p>
        </w:tc>
      </w:tr>
      <w:tr w:rsidR="00357530" w:rsidRPr="00357530" w:rsidTr="00BC5838">
        <w:trPr>
          <w:trHeight w:val="630"/>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PV in previous 5 Years</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1.22</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1.00-1.48</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0.0469</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1.41</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1.13-1.76</w:t>
            </w:r>
          </w:p>
        </w:tc>
        <w:tc>
          <w:tcPr>
            <w:tcW w:w="125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0.0025</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FV last year</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0.92</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0.75-1.13</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0.4404</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0.96</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0.76-1.20</w:t>
            </w:r>
          </w:p>
        </w:tc>
        <w:tc>
          <w:tcPr>
            <w:tcW w:w="125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0.7041</w:t>
            </w:r>
          </w:p>
        </w:tc>
      </w:tr>
      <w:tr w:rsidR="00357530" w:rsidRPr="00357530" w:rsidTr="00BC5838">
        <w:trPr>
          <w:trHeight w:val="315"/>
        </w:trPr>
        <w:tc>
          <w:tcPr>
            <w:tcW w:w="2160"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xml:space="preserve">  Both</w:t>
            </w:r>
          </w:p>
        </w:tc>
        <w:tc>
          <w:tcPr>
            <w:tcW w:w="8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0.88</w:t>
            </w:r>
          </w:p>
        </w:tc>
        <w:tc>
          <w:tcPr>
            <w:tcW w:w="13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0.71-1.08</w:t>
            </w:r>
          </w:p>
        </w:tc>
        <w:tc>
          <w:tcPr>
            <w:tcW w:w="106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0.2215</w:t>
            </w:r>
          </w:p>
        </w:tc>
        <w:tc>
          <w:tcPr>
            <w:tcW w:w="102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0.88</w:t>
            </w:r>
          </w:p>
        </w:tc>
        <w:tc>
          <w:tcPr>
            <w:tcW w:w="1600" w:type="dxa"/>
            <w:tcBorders>
              <w:top w:val="nil"/>
              <w:left w:val="nil"/>
              <w:bottom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0.70-1.11</w:t>
            </w:r>
          </w:p>
        </w:tc>
        <w:tc>
          <w:tcPr>
            <w:tcW w:w="1250" w:type="dxa"/>
            <w:tcBorders>
              <w:top w:val="nil"/>
              <w:left w:val="nil"/>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0.2977</w:t>
            </w:r>
          </w:p>
        </w:tc>
      </w:tr>
      <w:tr w:rsidR="00357530" w:rsidRPr="00357530" w:rsidTr="00BC5838">
        <w:trPr>
          <w:trHeight w:val="330"/>
        </w:trPr>
        <w:tc>
          <w:tcPr>
            <w:tcW w:w="2160" w:type="dxa"/>
            <w:tcBorders>
              <w:top w:val="nil"/>
              <w:left w:val="nil"/>
              <w:bottom w:val="single" w:sz="8" w:space="0" w:color="auto"/>
              <w:right w:val="nil"/>
            </w:tcBorders>
            <w:shd w:val="clear" w:color="auto" w:fill="auto"/>
            <w:vAlign w:val="center"/>
            <w:hideMark/>
          </w:tcPr>
          <w:p w:rsidR="00357530" w:rsidRPr="00357530" w:rsidRDefault="00357530" w:rsidP="00357530">
            <w:pPr>
              <w:rPr>
                <w:color w:val="000000"/>
              </w:rPr>
            </w:pPr>
            <w:r w:rsidRPr="00357530">
              <w:rPr>
                <w:color w:val="000000"/>
              </w:rPr>
              <w:t xml:space="preserve">  Neither</w:t>
            </w:r>
          </w:p>
        </w:tc>
        <w:tc>
          <w:tcPr>
            <w:tcW w:w="820" w:type="dxa"/>
            <w:tcBorders>
              <w:top w:val="nil"/>
              <w:left w:val="nil"/>
              <w:bottom w:val="single" w:sz="8"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360" w:type="dxa"/>
            <w:tcBorders>
              <w:top w:val="nil"/>
              <w:left w:val="nil"/>
              <w:bottom w:val="single" w:sz="8"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60" w:type="dxa"/>
            <w:tcBorders>
              <w:top w:val="nil"/>
              <w:left w:val="nil"/>
              <w:bottom w:val="single" w:sz="8" w:space="0" w:color="auto"/>
              <w:right w:val="nil"/>
            </w:tcBorders>
            <w:shd w:val="clear" w:color="auto" w:fill="auto"/>
            <w:noWrap/>
            <w:vAlign w:val="center"/>
            <w:hideMark/>
          </w:tcPr>
          <w:p w:rsidR="00357530" w:rsidRPr="00357530" w:rsidRDefault="00357530" w:rsidP="00357530">
            <w:pPr>
              <w:jc w:val="right"/>
              <w:rPr>
                <w:color w:val="000000"/>
              </w:rPr>
            </w:pPr>
            <w:r w:rsidRPr="00357530">
              <w:rPr>
                <w:color w:val="000000"/>
              </w:rPr>
              <w:t> </w:t>
            </w:r>
          </w:p>
        </w:tc>
        <w:tc>
          <w:tcPr>
            <w:tcW w:w="1020" w:type="dxa"/>
            <w:tcBorders>
              <w:top w:val="nil"/>
              <w:left w:val="nil"/>
              <w:bottom w:val="single" w:sz="8" w:space="0" w:color="auto"/>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600" w:type="dxa"/>
            <w:tcBorders>
              <w:top w:val="nil"/>
              <w:left w:val="nil"/>
              <w:bottom w:val="single" w:sz="8" w:space="0" w:color="auto"/>
              <w:right w:val="nil"/>
            </w:tcBorders>
            <w:shd w:val="clear" w:color="auto" w:fill="auto"/>
            <w:noWrap/>
            <w:vAlign w:val="center"/>
            <w:hideMark/>
          </w:tcPr>
          <w:p w:rsidR="00357530" w:rsidRPr="00357530" w:rsidRDefault="00357530" w:rsidP="00357530">
            <w:pPr>
              <w:rPr>
                <w:color w:val="000000"/>
              </w:rPr>
            </w:pPr>
            <w:r w:rsidRPr="00357530">
              <w:rPr>
                <w:color w:val="000000"/>
              </w:rPr>
              <w:t> </w:t>
            </w:r>
          </w:p>
        </w:tc>
        <w:tc>
          <w:tcPr>
            <w:tcW w:w="1250" w:type="dxa"/>
            <w:tcBorders>
              <w:top w:val="nil"/>
              <w:left w:val="nil"/>
              <w:bottom w:val="single" w:sz="4" w:space="0" w:color="auto"/>
            </w:tcBorders>
            <w:shd w:val="clear" w:color="auto" w:fill="auto"/>
            <w:noWrap/>
            <w:vAlign w:val="center"/>
            <w:hideMark/>
          </w:tcPr>
          <w:p w:rsidR="00357530" w:rsidRPr="00357530" w:rsidRDefault="00357530" w:rsidP="00357530">
            <w:pPr>
              <w:rPr>
                <w:color w:val="000000"/>
              </w:rPr>
            </w:pPr>
            <w:r w:rsidRPr="00357530">
              <w:rPr>
                <w:color w:val="000000"/>
              </w:rPr>
              <w:t> </w:t>
            </w:r>
          </w:p>
        </w:tc>
      </w:tr>
    </w:tbl>
    <w:p w:rsidR="002C4523" w:rsidRPr="00C86D4C" w:rsidRDefault="002C4523" w:rsidP="002C4523">
      <w:pPr>
        <w:tabs>
          <w:tab w:val="left" w:pos="2430"/>
        </w:tabs>
      </w:pPr>
      <w:r>
        <w:t>IR</w:t>
      </w:r>
      <w:r w:rsidRPr="00C86D4C">
        <w:t xml:space="preserve">R: </w:t>
      </w:r>
      <w:r>
        <w:t xml:space="preserve">Incident Rate Ratio; </w:t>
      </w:r>
      <w:r w:rsidRPr="00C86D4C">
        <w:t>OR: Odds Ratio; PV: Pneumococcal Vaccine; FV: Influenza Vaccine</w:t>
      </w:r>
    </w:p>
    <w:p w:rsidR="002C4523" w:rsidRDefault="002C4523" w:rsidP="002C4523">
      <w:pPr>
        <w:rPr>
          <w:b/>
        </w:rPr>
      </w:pPr>
    </w:p>
    <w:p w:rsidR="00357530" w:rsidRPr="00357530" w:rsidRDefault="00357530" w:rsidP="002C4523">
      <w:r>
        <w:rPr>
          <w:b/>
        </w:rPr>
        <w:t xml:space="preserve">* </w:t>
      </w:r>
      <w:r w:rsidRPr="00357530">
        <w:t>A flu season was defined as from September 1 to May 31 of the following year.</w:t>
      </w:r>
    </w:p>
    <w:p w:rsidR="002C4523" w:rsidRDefault="002C4523" w:rsidP="002C4523"/>
    <w:p w:rsidR="002C4523" w:rsidRDefault="00CB0061" w:rsidP="00CB0061">
      <w:pPr>
        <w:rPr>
          <w:b/>
        </w:rPr>
      </w:pPr>
      <w:r w:rsidRPr="00CB0061">
        <w:t xml:space="preserve">All analyses have adjusted for patient's age, gender, race, marital status, </w:t>
      </w:r>
      <w:proofErr w:type="gramStart"/>
      <w:r w:rsidRPr="00CB0061">
        <w:t>comorbidity</w:t>
      </w:r>
      <w:proofErr w:type="gramEnd"/>
      <w:r w:rsidRPr="00CB0061">
        <w:t xml:space="preserve"> index score, non-mental health outpatient visits and CAP hospitalization in the previous year, and any acute respiratory conditions experienced in the previous 30 days. Analyses of length of stay and inpatient death additionally adjusted for development of bacteremia, and respiratory complications. </w:t>
      </w:r>
      <w:r w:rsidR="002C4523">
        <w:rPr>
          <w:b/>
        </w:rPr>
        <w:br w:type="page"/>
      </w:r>
    </w:p>
    <w:p w:rsidR="00357530" w:rsidRDefault="00357530" w:rsidP="00357530">
      <w:pPr>
        <w:spacing w:line="480" w:lineRule="auto"/>
        <w:rPr>
          <w:b/>
        </w:rPr>
      </w:pPr>
      <w:r w:rsidRPr="00357530">
        <w:rPr>
          <w:b/>
        </w:rPr>
        <w:lastRenderedPageBreak/>
        <w:t>Table A.</w:t>
      </w:r>
      <w:r>
        <w:rPr>
          <w:b/>
        </w:rPr>
        <w:t>5</w:t>
      </w:r>
      <w:r w:rsidRPr="00357530">
        <w:rPr>
          <w:b/>
        </w:rPr>
        <w:t>.</w:t>
      </w:r>
      <w:r>
        <w:t xml:space="preserve"> </w:t>
      </w:r>
      <w:r w:rsidRPr="00357530">
        <w:rPr>
          <w:b/>
        </w:rPr>
        <w:t xml:space="preserve">Sensitivity Analyses of </w:t>
      </w:r>
      <w:r>
        <w:rPr>
          <w:b/>
        </w:rPr>
        <w:t xml:space="preserve">Time </w:t>
      </w:r>
      <w:r w:rsidR="00337FA1">
        <w:rPr>
          <w:b/>
        </w:rPr>
        <w:t>s</w:t>
      </w:r>
      <w:r>
        <w:rPr>
          <w:b/>
        </w:rPr>
        <w:t>ince Last PV</w:t>
      </w:r>
      <w:r w:rsidRPr="00357530">
        <w:rPr>
          <w:b/>
        </w:rPr>
        <w:t xml:space="preserve"> in Elderly Veterans Hospitalized for Community-Acquired Pneumonia in Fiscal Year 2003</w:t>
      </w:r>
      <w:r w:rsidR="00A85AA0">
        <w:rPr>
          <w:b/>
        </w:rPr>
        <w:t xml:space="preserve"> (n=3015)</w:t>
      </w:r>
      <w:r>
        <w:rPr>
          <w:b/>
        </w:rPr>
        <w:t>*</w:t>
      </w:r>
    </w:p>
    <w:tbl>
      <w:tblPr>
        <w:tblW w:w="6088" w:type="dxa"/>
        <w:tblInd w:w="108" w:type="dxa"/>
        <w:tblLook w:val="04A0" w:firstRow="1" w:lastRow="0" w:firstColumn="1" w:lastColumn="0" w:noHBand="0" w:noVBand="1"/>
      </w:tblPr>
      <w:tblGrid>
        <w:gridCol w:w="2513"/>
        <w:gridCol w:w="907"/>
        <w:gridCol w:w="1257"/>
        <w:gridCol w:w="1411"/>
      </w:tblGrid>
      <w:tr w:rsidR="00357530" w:rsidRPr="00357530" w:rsidTr="00357530">
        <w:trPr>
          <w:trHeight w:val="483"/>
        </w:trPr>
        <w:tc>
          <w:tcPr>
            <w:tcW w:w="2513" w:type="dxa"/>
            <w:tcBorders>
              <w:top w:val="single" w:sz="12" w:space="0" w:color="auto"/>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 </w:t>
            </w:r>
          </w:p>
        </w:tc>
        <w:tc>
          <w:tcPr>
            <w:tcW w:w="3575" w:type="dxa"/>
            <w:gridSpan w:val="3"/>
            <w:tcBorders>
              <w:top w:val="single" w:sz="12" w:space="0" w:color="auto"/>
              <w:left w:val="nil"/>
              <w:bottom w:val="nil"/>
              <w:right w:val="nil"/>
            </w:tcBorders>
            <w:shd w:val="clear" w:color="auto" w:fill="auto"/>
            <w:vAlign w:val="center"/>
            <w:hideMark/>
          </w:tcPr>
          <w:p w:rsidR="00357530" w:rsidRPr="00D03E25" w:rsidRDefault="00357530" w:rsidP="00274D77">
            <w:pPr>
              <w:jc w:val="center"/>
              <w:rPr>
                <w:b/>
                <w:bCs/>
                <w:color w:val="FF0000"/>
              </w:rPr>
            </w:pPr>
            <w:r w:rsidRPr="00357530">
              <w:rPr>
                <w:b/>
                <w:bCs/>
                <w:color w:val="000000"/>
              </w:rPr>
              <w:t>Length of Stay</w:t>
            </w:r>
            <w:r w:rsidR="00D03E25">
              <w:rPr>
                <w:b/>
                <w:bCs/>
                <w:color w:val="000000"/>
              </w:rPr>
              <w:t xml:space="preserve"> </w:t>
            </w:r>
          </w:p>
        </w:tc>
      </w:tr>
      <w:tr w:rsidR="00357530" w:rsidRPr="00357530" w:rsidTr="002C4523">
        <w:trPr>
          <w:trHeight w:val="360"/>
        </w:trPr>
        <w:tc>
          <w:tcPr>
            <w:tcW w:w="2513"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b/>
                <w:bCs/>
                <w:color w:val="000000"/>
              </w:rPr>
              <w:t>Vaccination Status</w:t>
            </w:r>
          </w:p>
        </w:tc>
        <w:tc>
          <w:tcPr>
            <w:tcW w:w="907" w:type="dxa"/>
            <w:tcBorders>
              <w:top w:val="nil"/>
              <w:left w:val="nil"/>
              <w:bottom w:val="nil"/>
              <w:right w:val="nil"/>
            </w:tcBorders>
            <w:shd w:val="clear" w:color="auto" w:fill="auto"/>
            <w:vAlign w:val="center"/>
            <w:hideMark/>
          </w:tcPr>
          <w:p w:rsidR="00357530" w:rsidRPr="00357530" w:rsidRDefault="00661A30" w:rsidP="00357530">
            <w:pPr>
              <w:rPr>
                <w:color w:val="000000"/>
              </w:rPr>
            </w:pPr>
            <w:r>
              <w:rPr>
                <w:color w:val="000000"/>
                <w:highlight w:val="yellow"/>
              </w:rPr>
              <w:t>IRR</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95% CI</w:t>
            </w:r>
          </w:p>
        </w:tc>
        <w:tc>
          <w:tcPr>
            <w:tcW w:w="1411"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P-value</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2C4523" w:rsidP="00357530">
            <w:pPr>
              <w:rPr>
                <w:color w:val="000000"/>
              </w:rPr>
            </w:pPr>
            <w:r>
              <w:rPr>
                <w:color w:val="000000"/>
              </w:rPr>
              <w:t>P</w:t>
            </w:r>
            <w:r w:rsidR="00357530" w:rsidRPr="00357530">
              <w:rPr>
                <w:color w:val="000000"/>
              </w:rPr>
              <w:t>V within 1 y</w:t>
            </w:r>
            <w:r w:rsidR="00357530">
              <w:rPr>
                <w:color w:val="000000"/>
              </w:rPr>
              <w:t>ea</w:t>
            </w:r>
            <w:r w:rsidR="00357530" w:rsidRPr="00357530">
              <w:rPr>
                <w:color w:val="000000"/>
              </w:rPr>
              <w:t xml:space="preserve">r </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p>
        </w:tc>
        <w:tc>
          <w:tcPr>
            <w:tcW w:w="1411" w:type="dxa"/>
            <w:tcBorders>
              <w:top w:val="nil"/>
              <w:left w:val="nil"/>
              <w:bottom w:val="nil"/>
              <w:right w:val="nil"/>
            </w:tcBorders>
            <w:shd w:val="clear" w:color="auto" w:fill="auto"/>
            <w:vAlign w:val="center"/>
            <w:hideMark/>
          </w:tcPr>
          <w:p w:rsidR="00357530" w:rsidRPr="00357530" w:rsidRDefault="00357530" w:rsidP="00357530"/>
        </w:tc>
      </w:tr>
      <w:tr w:rsidR="00357530" w:rsidRPr="00D03E25"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2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D03E25" w:rsidRDefault="000C51C9" w:rsidP="00357530">
            <w:pPr>
              <w:jc w:val="right"/>
              <w:rPr>
                <w:color w:val="000000"/>
                <w:highlight w:val="yellow"/>
              </w:rPr>
            </w:pPr>
            <w:r>
              <w:rPr>
                <w:color w:val="000000"/>
                <w:highlight w:val="yellow"/>
              </w:rPr>
              <w:t>0.96</w:t>
            </w:r>
          </w:p>
        </w:tc>
        <w:tc>
          <w:tcPr>
            <w:tcW w:w="1257" w:type="dxa"/>
            <w:tcBorders>
              <w:top w:val="nil"/>
              <w:left w:val="nil"/>
              <w:bottom w:val="nil"/>
              <w:right w:val="nil"/>
            </w:tcBorders>
            <w:shd w:val="clear" w:color="auto" w:fill="auto"/>
            <w:noWrap/>
            <w:vAlign w:val="bottom"/>
            <w:hideMark/>
          </w:tcPr>
          <w:p w:rsidR="00357530" w:rsidRPr="00D03E25" w:rsidRDefault="00357530" w:rsidP="000C51C9">
            <w:pPr>
              <w:rPr>
                <w:color w:val="000000"/>
                <w:highlight w:val="yellow"/>
              </w:rPr>
            </w:pPr>
            <w:r w:rsidRPr="00D03E25">
              <w:rPr>
                <w:color w:val="000000"/>
                <w:highlight w:val="yellow"/>
              </w:rPr>
              <w:t>0.</w:t>
            </w:r>
            <w:r w:rsidR="000C51C9">
              <w:rPr>
                <w:color w:val="000000"/>
                <w:highlight w:val="yellow"/>
              </w:rPr>
              <w:t>87</w:t>
            </w:r>
            <w:r w:rsidRPr="00D03E25">
              <w:rPr>
                <w:color w:val="000000"/>
                <w:highlight w:val="yellow"/>
              </w:rPr>
              <w:t>-1.</w:t>
            </w:r>
            <w:r w:rsidR="000C51C9">
              <w:rPr>
                <w:color w:val="000000"/>
                <w:highlight w:val="yellow"/>
              </w:rPr>
              <w:t>05</w:t>
            </w:r>
          </w:p>
        </w:tc>
        <w:tc>
          <w:tcPr>
            <w:tcW w:w="1411" w:type="dxa"/>
            <w:tcBorders>
              <w:top w:val="nil"/>
              <w:left w:val="nil"/>
              <w:bottom w:val="nil"/>
              <w:right w:val="nil"/>
            </w:tcBorders>
            <w:shd w:val="clear" w:color="auto" w:fill="auto"/>
            <w:noWrap/>
            <w:vAlign w:val="bottom"/>
            <w:hideMark/>
          </w:tcPr>
          <w:p w:rsidR="00357530" w:rsidRPr="00D03E25" w:rsidRDefault="00357530" w:rsidP="000C51C9">
            <w:pPr>
              <w:jc w:val="right"/>
              <w:rPr>
                <w:color w:val="000000"/>
                <w:highlight w:val="yellow"/>
              </w:rPr>
            </w:pPr>
            <w:r w:rsidRPr="00D03E25">
              <w:rPr>
                <w:color w:val="000000"/>
                <w:highlight w:val="yellow"/>
              </w:rPr>
              <w:t>0.</w:t>
            </w:r>
            <w:r w:rsidR="000C51C9">
              <w:rPr>
                <w:color w:val="000000"/>
                <w:highlight w:val="yellow"/>
              </w:rPr>
              <w:t>3770</w:t>
            </w:r>
          </w:p>
        </w:tc>
      </w:tr>
      <w:tr w:rsidR="00357530" w:rsidRPr="00D03E25"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3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D03E25" w:rsidRDefault="000C51C9" w:rsidP="00357530">
            <w:pPr>
              <w:jc w:val="right"/>
              <w:rPr>
                <w:color w:val="000000"/>
                <w:highlight w:val="yellow"/>
              </w:rPr>
            </w:pPr>
            <w:r>
              <w:rPr>
                <w:color w:val="000000"/>
                <w:highlight w:val="yellow"/>
              </w:rPr>
              <w:t>0.98</w:t>
            </w:r>
          </w:p>
        </w:tc>
        <w:tc>
          <w:tcPr>
            <w:tcW w:w="1257" w:type="dxa"/>
            <w:tcBorders>
              <w:top w:val="nil"/>
              <w:left w:val="nil"/>
              <w:bottom w:val="nil"/>
              <w:right w:val="nil"/>
            </w:tcBorders>
            <w:shd w:val="clear" w:color="auto" w:fill="auto"/>
            <w:noWrap/>
            <w:vAlign w:val="bottom"/>
            <w:hideMark/>
          </w:tcPr>
          <w:p w:rsidR="00357530" w:rsidRPr="00D03E25" w:rsidRDefault="00357530" w:rsidP="000C51C9">
            <w:pPr>
              <w:rPr>
                <w:color w:val="000000"/>
                <w:highlight w:val="yellow"/>
              </w:rPr>
            </w:pPr>
            <w:r w:rsidRPr="00D03E25">
              <w:rPr>
                <w:color w:val="000000"/>
                <w:highlight w:val="yellow"/>
              </w:rPr>
              <w:t>0.90-1.</w:t>
            </w:r>
            <w:r w:rsidR="000C51C9">
              <w:rPr>
                <w:color w:val="000000"/>
                <w:highlight w:val="yellow"/>
              </w:rPr>
              <w:t>07</w:t>
            </w:r>
          </w:p>
        </w:tc>
        <w:tc>
          <w:tcPr>
            <w:tcW w:w="1411" w:type="dxa"/>
            <w:tcBorders>
              <w:top w:val="nil"/>
              <w:left w:val="nil"/>
              <w:bottom w:val="nil"/>
              <w:right w:val="nil"/>
            </w:tcBorders>
            <w:shd w:val="clear" w:color="auto" w:fill="auto"/>
            <w:noWrap/>
            <w:vAlign w:val="bottom"/>
            <w:hideMark/>
          </w:tcPr>
          <w:p w:rsidR="00357530" w:rsidRPr="00D03E25" w:rsidRDefault="000C51C9" w:rsidP="000C51C9">
            <w:pPr>
              <w:jc w:val="right"/>
              <w:rPr>
                <w:color w:val="000000"/>
                <w:highlight w:val="yellow"/>
              </w:rPr>
            </w:pPr>
            <w:r>
              <w:rPr>
                <w:color w:val="000000"/>
                <w:highlight w:val="yellow"/>
              </w:rPr>
              <w:t>0.7104</w:t>
            </w:r>
          </w:p>
        </w:tc>
      </w:tr>
      <w:tr w:rsidR="00357530" w:rsidRPr="00D03E25"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4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D03E25" w:rsidRDefault="000C51C9" w:rsidP="00357530">
            <w:pPr>
              <w:jc w:val="right"/>
              <w:rPr>
                <w:color w:val="000000"/>
                <w:highlight w:val="yellow"/>
              </w:rPr>
            </w:pPr>
            <w:r>
              <w:rPr>
                <w:color w:val="000000"/>
                <w:highlight w:val="yellow"/>
              </w:rPr>
              <w:t>1.02</w:t>
            </w:r>
          </w:p>
        </w:tc>
        <w:tc>
          <w:tcPr>
            <w:tcW w:w="1257" w:type="dxa"/>
            <w:tcBorders>
              <w:top w:val="nil"/>
              <w:left w:val="nil"/>
              <w:bottom w:val="nil"/>
              <w:right w:val="nil"/>
            </w:tcBorders>
            <w:shd w:val="clear" w:color="auto" w:fill="auto"/>
            <w:noWrap/>
            <w:vAlign w:val="bottom"/>
            <w:hideMark/>
          </w:tcPr>
          <w:p w:rsidR="00357530" w:rsidRPr="00D03E25" w:rsidRDefault="00357530" w:rsidP="000C51C9">
            <w:pPr>
              <w:rPr>
                <w:color w:val="000000"/>
                <w:highlight w:val="yellow"/>
              </w:rPr>
            </w:pPr>
            <w:r w:rsidRPr="00D03E25">
              <w:rPr>
                <w:color w:val="000000"/>
                <w:highlight w:val="yellow"/>
              </w:rPr>
              <w:t>0.</w:t>
            </w:r>
            <w:r w:rsidR="000C51C9">
              <w:rPr>
                <w:color w:val="000000"/>
                <w:highlight w:val="yellow"/>
              </w:rPr>
              <w:t>93</w:t>
            </w:r>
            <w:r w:rsidRPr="00D03E25">
              <w:rPr>
                <w:color w:val="000000"/>
                <w:highlight w:val="yellow"/>
              </w:rPr>
              <w:t>-1.11</w:t>
            </w:r>
          </w:p>
        </w:tc>
        <w:tc>
          <w:tcPr>
            <w:tcW w:w="1411" w:type="dxa"/>
            <w:tcBorders>
              <w:top w:val="nil"/>
              <w:left w:val="nil"/>
              <w:bottom w:val="nil"/>
              <w:right w:val="nil"/>
            </w:tcBorders>
            <w:shd w:val="clear" w:color="auto" w:fill="auto"/>
            <w:noWrap/>
            <w:vAlign w:val="bottom"/>
            <w:hideMark/>
          </w:tcPr>
          <w:p w:rsidR="00357530" w:rsidRPr="00D03E25" w:rsidRDefault="00357530" w:rsidP="000C51C9">
            <w:pPr>
              <w:jc w:val="right"/>
              <w:rPr>
                <w:color w:val="000000"/>
                <w:highlight w:val="yellow"/>
              </w:rPr>
            </w:pPr>
            <w:r w:rsidRPr="00D03E25">
              <w:rPr>
                <w:color w:val="000000"/>
                <w:highlight w:val="yellow"/>
              </w:rPr>
              <w:t>0.7</w:t>
            </w:r>
            <w:r w:rsidR="000C51C9">
              <w:rPr>
                <w:color w:val="000000"/>
                <w:highlight w:val="yellow"/>
              </w:rPr>
              <w:t>261</w:t>
            </w:r>
          </w:p>
        </w:tc>
      </w:tr>
      <w:tr w:rsidR="00357530" w:rsidRPr="00D03E25" w:rsidTr="00357530">
        <w:trPr>
          <w:trHeight w:val="315"/>
        </w:trPr>
        <w:tc>
          <w:tcPr>
            <w:tcW w:w="2513" w:type="dxa"/>
            <w:tcBorders>
              <w:top w:val="nil"/>
              <w:left w:val="nil"/>
              <w:bottom w:val="single" w:sz="4" w:space="0" w:color="auto"/>
              <w:right w:val="nil"/>
            </w:tcBorders>
            <w:shd w:val="clear" w:color="auto" w:fill="auto"/>
            <w:vAlign w:val="center"/>
            <w:hideMark/>
          </w:tcPr>
          <w:p w:rsidR="00357530" w:rsidRPr="00357530" w:rsidRDefault="00357530" w:rsidP="002C4523">
            <w:pPr>
              <w:rPr>
                <w:color w:val="000000"/>
              </w:rPr>
            </w:pPr>
            <w:r w:rsidRPr="00357530">
              <w:rPr>
                <w:color w:val="000000"/>
              </w:rPr>
              <w:t>PV within 5 y</w:t>
            </w:r>
            <w:r>
              <w:rPr>
                <w:color w:val="000000"/>
              </w:rPr>
              <w:t>ea</w:t>
            </w:r>
            <w:r w:rsidRPr="00357530">
              <w:rPr>
                <w:color w:val="000000"/>
              </w:rPr>
              <w:t>rs</w:t>
            </w:r>
          </w:p>
        </w:tc>
        <w:tc>
          <w:tcPr>
            <w:tcW w:w="907" w:type="dxa"/>
            <w:tcBorders>
              <w:top w:val="nil"/>
              <w:left w:val="nil"/>
              <w:bottom w:val="single" w:sz="4" w:space="0" w:color="auto"/>
              <w:right w:val="nil"/>
            </w:tcBorders>
            <w:shd w:val="clear" w:color="auto" w:fill="auto"/>
            <w:noWrap/>
            <w:vAlign w:val="bottom"/>
            <w:hideMark/>
          </w:tcPr>
          <w:p w:rsidR="00357530" w:rsidRPr="00D03E25" w:rsidRDefault="000C51C9" w:rsidP="00357530">
            <w:pPr>
              <w:jc w:val="right"/>
              <w:rPr>
                <w:color w:val="000000"/>
                <w:highlight w:val="yellow"/>
              </w:rPr>
            </w:pPr>
            <w:r>
              <w:rPr>
                <w:color w:val="000000"/>
                <w:highlight w:val="yellow"/>
              </w:rPr>
              <w:t>1.07</w:t>
            </w:r>
          </w:p>
        </w:tc>
        <w:tc>
          <w:tcPr>
            <w:tcW w:w="1257" w:type="dxa"/>
            <w:tcBorders>
              <w:top w:val="nil"/>
              <w:left w:val="nil"/>
              <w:bottom w:val="single" w:sz="4" w:space="0" w:color="auto"/>
              <w:right w:val="nil"/>
            </w:tcBorders>
            <w:shd w:val="clear" w:color="auto" w:fill="auto"/>
            <w:noWrap/>
            <w:vAlign w:val="bottom"/>
            <w:hideMark/>
          </w:tcPr>
          <w:p w:rsidR="00357530" w:rsidRPr="00D03E25" w:rsidRDefault="00357530" w:rsidP="000C51C9">
            <w:pPr>
              <w:rPr>
                <w:color w:val="000000"/>
                <w:highlight w:val="yellow"/>
              </w:rPr>
            </w:pPr>
            <w:r w:rsidRPr="00D03E25">
              <w:rPr>
                <w:color w:val="000000"/>
                <w:highlight w:val="yellow"/>
              </w:rPr>
              <w:t>0.</w:t>
            </w:r>
            <w:r w:rsidR="000C51C9">
              <w:rPr>
                <w:color w:val="000000"/>
                <w:highlight w:val="yellow"/>
              </w:rPr>
              <w:t>9</w:t>
            </w:r>
            <w:r w:rsidRPr="00D03E25">
              <w:rPr>
                <w:color w:val="000000"/>
                <w:highlight w:val="yellow"/>
              </w:rPr>
              <w:t>8-1.</w:t>
            </w:r>
            <w:r w:rsidR="000C51C9">
              <w:rPr>
                <w:color w:val="000000"/>
                <w:highlight w:val="yellow"/>
              </w:rPr>
              <w:t>17</w:t>
            </w:r>
          </w:p>
        </w:tc>
        <w:tc>
          <w:tcPr>
            <w:tcW w:w="1411" w:type="dxa"/>
            <w:tcBorders>
              <w:top w:val="nil"/>
              <w:left w:val="nil"/>
              <w:bottom w:val="single" w:sz="4" w:space="0" w:color="auto"/>
              <w:right w:val="nil"/>
            </w:tcBorders>
            <w:shd w:val="clear" w:color="auto" w:fill="auto"/>
            <w:noWrap/>
            <w:vAlign w:val="bottom"/>
            <w:hideMark/>
          </w:tcPr>
          <w:p w:rsidR="00357530" w:rsidRPr="00D03E25" w:rsidRDefault="00357530" w:rsidP="000C51C9">
            <w:pPr>
              <w:jc w:val="right"/>
              <w:rPr>
                <w:color w:val="000000"/>
                <w:highlight w:val="yellow"/>
              </w:rPr>
            </w:pPr>
            <w:r w:rsidRPr="00D03E25">
              <w:rPr>
                <w:color w:val="000000"/>
                <w:highlight w:val="yellow"/>
              </w:rPr>
              <w:t>0.</w:t>
            </w:r>
            <w:r w:rsidR="000C51C9">
              <w:rPr>
                <w:color w:val="000000"/>
                <w:highlight w:val="yellow"/>
              </w:rPr>
              <w:t>1095</w:t>
            </w:r>
          </w:p>
        </w:tc>
      </w:tr>
      <w:tr w:rsidR="00357530" w:rsidRPr="00357530" w:rsidTr="00357530">
        <w:trPr>
          <w:trHeight w:val="315"/>
        </w:trPr>
        <w:tc>
          <w:tcPr>
            <w:tcW w:w="2513"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p>
        </w:tc>
        <w:tc>
          <w:tcPr>
            <w:tcW w:w="3575" w:type="dxa"/>
            <w:gridSpan w:val="3"/>
            <w:tcBorders>
              <w:top w:val="nil"/>
              <w:left w:val="nil"/>
              <w:bottom w:val="nil"/>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Inpatient Death</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b/>
                <w:bCs/>
                <w:color w:val="000000"/>
              </w:rPr>
              <w:t>Vaccination Status</w:t>
            </w:r>
          </w:p>
        </w:tc>
        <w:tc>
          <w:tcPr>
            <w:tcW w:w="907" w:type="dxa"/>
            <w:tcBorders>
              <w:top w:val="nil"/>
              <w:left w:val="nil"/>
              <w:bottom w:val="nil"/>
              <w:right w:val="nil"/>
            </w:tcBorders>
            <w:shd w:val="clear" w:color="auto" w:fill="auto"/>
            <w:vAlign w:val="center"/>
            <w:hideMark/>
          </w:tcPr>
          <w:p w:rsidR="00357530" w:rsidRPr="00357530" w:rsidRDefault="00521C18" w:rsidP="00521C18">
            <w:pPr>
              <w:rPr>
                <w:color w:val="000000"/>
              </w:rPr>
            </w:pPr>
            <w:r w:rsidRPr="00D03E25">
              <w:rPr>
                <w:color w:val="000000"/>
                <w:highlight w:val="yellow"/>
              </w:rPr>
              <w:t>O</w:t>
            </w:r>
            <w:r w:rsidR="00357530" w:rsidRPr="00D03E25">
              <w:rPr>
                <w:color w:val="000000"/>
                <w:highlight w:val="yellow"/>
              </w:rPr>
              <w:t>R</w:t>
            </w:r>
          </w:p>
        </w:tc>
        <w:tc>
          <w:tcPr>
            <w:tcW w:w="1257" w:type="dxa"/>
            <w:tcBorders>
              <w:top w:val="nil"/>
              <w:left w:val="nil"/>
              <w:bottom w:val="nil"/>
              <w:right w:val="nil"/>
            </w:tcBorders>
            <w:shd w:val="clear" w:color="auto" w:fill="auto"/>
            <w:vAlign w:val="center"/>
            <w:hideMark/>
          </w:tcPr>
          <w:p w:rsidR="00357530" w:rsidRPr="00357530" w:rsidRDefault="00357530" w:rsidP="00357530">
            <w:pPr>
              <w:jc w:val="center"/>
              <w:rPr>
                <w:color w:val="000000"/>
              </w:rPr>
            </w:pPr>
            <w:r w:rsidRPr="00357530">
              <w:rPr>
                <w:color w:val="000000"/>
              </w:rPr>
              <w:t>95% CI</w:t>
            </w:r>
          </w:p>
        </w:tc>
        <w:tc>
          <w:tcPr>
            <w:tcW w:w="1411"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P-value</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1 y</w:t>
            </w:r>
            <w:r>
              <w:rPr>
                <w:color w:val="000000"/>
              </w:rPr>
              <w:t>ea</w:t>
            </w:r>
            <w:r w:rsidRPr="00357530">
              <w:rPr>
                <w:color w:val="000000"/>
              </w:rPr>
              <w:t xml:space="preserve">r </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p>
        </w:tc>
        <w:tc>
          <w:tcPr>
            <w:tcW w:w="1411" w:type="dxa"/>
            <w:tcBorders>
              <w:top w:val="nil"/>
              <w:left w:val="nil"/>
              <w:bottom w:val="nil"/>
              <w:right w:val="nil"/>
            </w:tcBorders>
            <w:shd w:val="clear" w:color="auto" w:fill="auto"/>
            <w:vAlign w:val="center"/>
            <w:hideMark/>
          </w:tcPr>
          <w:p w:rsidR="00357530" w:rsidRPr="00357530" w:rsidRDefault="00357530" w:rsidP="00357530"/>
        </w:tc>
      </w:tr>
      <w:tr w:rsidR="00357530" w:rsidRPr="00521C18"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2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521C18" w:rsidRDefault="00521C18" w:rsidP="00357530">
            <w:pPr>
              <w:jc w:val="right"/>
              <w:rPr>
                <w:color w:val="000000"/>
                <w:highlight w:val="yellow"/>
              </w:rPr>
            </w:pPr>
            <w:r w:rsidRPr="00521C18">
              <w:rPr>
                <w:color w:val="000000"/>
                <w:highlight w:val="yellow"/>
              </w:rPr>
              <w:t>1.05</w:t>
            </w:r>
          </w:p>
        </w:tc>
        <w:tc>
          <w:tcPr>
            <w:tcW w:w="1257" w:type="dxa"/>
            <w:tcBorders>
              <w:top w:val="nil"/>
              <w:left w:val="nil"/>
              <w:bottom w:val="nil"/>
              <w:right w:val="nil"/>
            </w:tcBorders>
            <w:shd w:val="clear" w:color="auto" w:fill="auto"/>
            <w:noWrap/>
            <w:vAlign w:val="bottom"/>
            <w:hideMark/>
          </w:tcPr>
          <w:p w:rsidR="00357530" w:rsidRPr="00521C18" w:rsidRDefault="00357530" w:rsidP="00521C18">
            <w:pPr>
              <w:rPr>
                <w:color w:val="000000"/>
                <w:highlight w:val="yellow"/>
              </w:rPr>
            </w:pPr>
            <w:r w:rsidRPr="00521C18">
              <w:rPr>
                <w:color w:val="000000"/>
                <w:highlight w:val="yellow"/>
              </w:rPr>
              <w:t>0.</w:t>
            </w:r>
            <w:r w:rsidR="00521C18" w:rsidRPr="00521C18">
              <w:rPr>
                <w:color w:val="000000"/>
                <w:highlight w:val="yellow"/>
              </w:rPr>
              <w:t>63</w:t>
            </w:r>
            <w:r w:rsidRPr="00521C18">
              <w:rPr>
                <w:color w:val="000000"/>
                <w:highlight w:val="yellow"/>
              </w:rPr>
              <w:t>-1.</w:t>
            </w:r>
            <w:r w:rsidR="00521C18" w:rsidRPr="00521C18">
              <w:rPr>
                <w:color w:val="000000"/>
                <w:highlight w:val="yellow"/>
              </w:rPr>
              <w:t>73</w:t>
            </w:r>
          </w:p>
        </w:tc>
        <w:tc>
          <w:tcPr>
            <w:tcW w:w="1411" w:type="dxa"/>
            <w:tcBorders>
              <w:top w:val="nil"/>
              <w:left w:val="nil"/>
              <w:bottom w:val="nil"/>
              <w:right w:val="nil"/>
            </w:tcBorders>
            <w:shd w:val="clear" w:color="auto" w:fill="auto"/>
            <w:noWrap/>
            <w:vAlign w:val="bottom"/>
            <w:hideMark/>
          </w:tcPr>
          <w:p w:rsidR="00357530" w:rsidRPr="00521C18" w:rsidRDefault="00357530" w:rsidP="00521C18">
            <w:pPr>
              <w:jc w:val="right"/>
              <w:rPr>
                <w:color w:val="000000"/>
                <w:highlight w:val="yellow"/>
              </w:rPr>
            </w:pPr>
            <w:r w:rsidRPr="00521C18">
              <w:rPr>
                <w:color w:val="000000"/>
                <w:highlight w:val="yellow"/>
              </w:rPr>
              <w:t>0.8</w:t>
            </w:r>
            <w:r w:rsidR="00521C18" w:rsidRPr="00521C18">
              <w:rPr>
                <w:color w:val="000000"/>
                <w:highlight w:val="yellow"/>
              </w:rPr>
              <w:t>634</w:t>
            </w:r>
          </w:p>
        </w:tc>
      </w:tr>
      <w:tr w:rsidR="00357530" w:rsidRPr="00521C18"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3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521C18" w:rsidRDefault="00521C18" w:rsidP="00357530">
            <w:pPr>
              <w:jc w:val="right"/>
              <w:rPr>
                <w:color w:val="000000"/>
                <w:highlight w:val="yellow"/>
              </w:rPr>
            </w:pPr>
            <w:r w:rsidRPr="00521C18">
              <w:rPr>
                <w:color w:val="000000"/>
                <w:highlight w:val="yellow"/>
              </w:rPr>
              <w:t>1.00</w:t>
            </w:r>
          </w:p>
        </w:tc>
        <w:tc>
          <w:tcPr>
            <w:tcW w:w="1257" w:type="dxa"/>
            <w:tcBorders>
              <w:top w:val="nil"/>
              <w:left w:val="nil"/>
              <w:bottom w:val="nil"/>
              <w:right w:val="nil"/>
            </w:tcBorders>
            <w:shd w:val="clear" w:color="auto" w:fill="auto"/>
            <w:noWrap/>
            <w:vAlign w:val="bottom"/>
            <w:hideMark/>
          </w:tcPr>
          <w:p w:rsidR="00357530" w:rsidRPr="00521C18" w:rsidRDefault="00521C18" w:rsidP="00357530">
            <w:pPr>
              <w:rPr>
                <w:color w:val="000000"/>
                <w:highlight w:val="yellow"/>
              </w:rPr>
            </w:pPr>
            <w:r w:rsidRPr="00521C18">
              <w:rPr>
                <w:color w:val="000000"/>
                <w:highlight w:val="yellow"/>
              </w:rPr>
              <w:t>0.61</w:t>
            </w:r>
            <w:r w:rsidR="00357530" w:rsidRPr="00521C18">
              <w:rPr>
                <w:color w:val="000000"/>
                <w:highlight w:val="yellow"/>
              </w:rPr>
              <w:t>-1.61</w:t>
            </w:r>
          </w:p>
        </w:tc>
        <w:tc>
          <w:tcPr>
            <w:tcW w:w="1411" w:type="dxa"/>
            <w:tcBorders>
              <w:top w:val="nil"/>
              <w:left w:val="nil"/>
              <w:bottom w:val="nil"/>
              <w:right w:val="nil"/>
            </w:tcBorders>
            <w:shd w:val="clear" w:color="auto" w:fill="auto"/>
            <w:noWrap/>
            <w:vAlign w:val="bottom"/>
            <w:hideMark/>
          </w:tcPr>
          <w:p w:rsidR="00357530" w:rsidRPr="00521C18" w:rsidRDefault="00357530" w:rsidP="00521C18">
            <w:pPr>
              <w:jc w:val="right"/>
              <w:rPr>
                <w:color w:val="000000"/>
                <w:highlight w:val="yellow"/>
              </w:rPr>
            </w:pPr>
            <w:r w:rsidRPr="00521C18">
              <w:rPr>
                <w:color w:val="000000"/>
                <w:highlight w:val="yellow"/>
              </w:rPr>
              <w:t>0.9</w:t>
            </w:r>
            <w:r w:rsidR="00521C18" w:rsidRPr="00521C18">
              <w:rPr>
                <w:color w:val="000000"/>
                <w:highlight w:val="yellow"/>
              </w:rPr>
              <w:t>832</w:t>
            </w:r>
          </w:p>
        </w:tc>
      </w:tr>
      <w:tr w:rsidR="00357530" w:rsidRPr="00521C18"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4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521C18" w:rsidRDefault="00521C18" w:rsidP="00357530">
            <w:pPr>
              <w:jc w:val="right"/>
              <w:rPr>
                <w:color w:val="000000"/>
                <w:highlight w:val="yellow"/>
              </w:rPr>
            </w:pPr>
            <w:r w:rsidRPr="00521C18">
              <w:rPr>
                <w:color w:val="000000"/>
                <w:highlight w:val="yellow"/>
              </w:rPr>
              <w:t>1.03</w:t>
            </w:r>
          </w:p>
        </w:tc>
        <w:tc>
          <w:tcPr>
            <w:tcW w:w="1257" w:type="dxa"/>
            <w:tcBorders>
              <w:top w:val="nil"/>
              <w:left w:val="nil"/>
              <w:bottom w:val="nil"/>
              <w:right w:val="nil"/>
            </w:tcBorders>
            <w:shd w:val="clear" w:color="auto" w:fill="auto"/>
            <w:noWrap/>
            <w:vAlign w:val="bottom"/>
            <w:hideMark/>
          </w:tcPr>
          <w:p w:rsidR="00357530" w:rsidRPr="00521C18" w:rsidRDefault="00521C18" w:rsidP="00521C18">
            <w:pPr>
              <w:rPr>
                <w:color w:val="000000"/>
                <w:highlight w:val="yellow"/>
              </w:rPr>
            </w:pPr>
            <w:r w:rsidRPr="00521C18">
              <w:rPr>
                <w:color w:val="000000"/>
                <w:highlight w:val="yellow"/>
              </w:rPr>
              <w:t>0.64</w:t>
            </w:r>
            <w:r w:rsidR="00357530" w:rsidRPr="00521C18">
              <w:rPr>
                <w:color w:val="000000"/>
                <w:highlight w:val="yellow"/>
              </w:rPr>
              <w:t>-1.</w:t>
            </w:r>
            <w:r w:rsidRPr="00521C18">
              <w:rPr>
                <w:color w:val="000000"/>
                <w:highlight w:val="yellow"/>
              </w:rPr>
              <w:t>6</w:t>
            </w:r>
            <w:r w:rsidR="00357530" w:rsidRPr="00521C18">
              <w:rPr>
                <w:color w:val="000000"/>
                <w:highlight w:val="yellow"/>
              </w:rPr>
              <w:t>5</w:t>
            </w:r>
          </w:p>
        </w:tc>
        <w:tc>
          <w:tcPr>
            <w:tcW w:w="1411" w:type="dxa"/>
            <w:tcBorders>
              <w:top w:val="nil"/>
              <w:left w:val="nil"/>
              <w:bottom w:val="nil"/>
              <w:right w:val="nil"/>
            </w:tcBorders>
            <w:shd w:val="clear" w:color="auto" w:fill="auto"/>
            <w:noWrap/>
            <w:vAlign w:val="bottom"/>
            <w:hideMark/>
          </w:tcPr>
          <w:p w:rsidR="00357530" w:rsidRPr="00521C18" w:rsidRDefault="00357530" w:rsidP="00521C18">
            <w:pPr>
              <w:jc w:val="right"/>
              <w:rPr>
                <w:color w:val="000000"/>
                <w:highlight w:val="yellow"/>
              </w:rPr>
            </w:pPr>
            <w:r w:rsidRPr="00521C18">
              <w:rPr>
                <w:color w:val="000000"/>
                <w:highlight w:val="yellow"/>
              </w:rPr>
              <w:t>0.</w:t>
            </w:r>
            <w:r w:rsidR="00521C18" w:rsidRPr="00521C18">
              <w:rPr>
                <w:color w:val="000000"/>
                <w:highlight w:val="yellow"/>
              </w:rPr>
              <w:t>9006</w:t>
            </w:r>
          </w:p>
        </w:tc>
      </w:tr>
      <w:tr w:rsidR="00357530" w:rsidRPr="00521C18" w:rsidTr="00357530">
        <w:trPr>
          <w:trHeight w:val="261"/>
        </w:trPr>
        <w:tc>
          <w:tcPr>
            <w:tcW w:w="2513" w:type="dxa"/>
            <w:tcBorders>
              <w:top w:val="nil"/>
              <w:left w:val="nil"/>
              <w:bottom w:val="single" w:sz="4" w:space="0" w:color="auto"/>
              <w:right w:val="nil"/>
            </w:tcBorders>
            <w:shd w:val="clear" w:color="auto" w:fill="auto"/>
            <w:vAlign w:val="center"/>
            <w:hideMark/>
          </w:tcPr>
          <w:p w:rsidR="00357530" w:rsidRPr="00357530" w:rsidRDefault="00357530" w:rsidP="002C4523">
            <w:pPr>
              <w:rPr>
                <w:color w:val="000000"/>
              </w:rPr>
            </w:pPr>
            <w:r w:rsidRPr="00357530">
              <w:rPr>
                <w:color w:val="000000"/>
              </w:rPr>
              <w:t>PV within 5 y</w:t>
            </w:r>
            <w:r>
              <w:rPr>
                <w:color w:val="000000"/>
              </w:rPr>
              <w:t>ea</w:t>
            </w:r>
            <w:r w:rsidRPr="00357530">
              <w:rPr>
                <w:color w:val="000000"/>
              </w:rPr>
              <w:t>rs</w:t>
            </w:r>
          </w:p>
        </w:tc>
        <w:tc>
          <w:tcPr>
            <w:tcW w:w="907" w:type="dxa"/>
            <w:tcBorders>
              <w:top w:val="nil"/>
              <w:left w:val="nil"/>
              <w:bottom w:val="single" w:sz="4" w:space="0" w:color="auto"/>
              <w:right w:val="nil"/>
            </w:tcBorders>
            <w:shd w:val="clear" w:color="auto" w:fill="auto"/>
            <w:noWrap/>
            <w:vAlign w:val="bottom"/>
            <w:hideMark/>
          </w:tcPr>
          <w:p w:rsidR="00357530" w:rsidRPr="00521C18" w:rsidRDefault="00521C18" w:rsidP="00357530">
            <w:pPr>
              <w:jc w:val="right"/>
              <w:rPr>
                <w:color w:val="000000"/>
                <w:highlight w:val="yellow"/>
              </w:rPr>
            </w:pPr>
            <w:r w:rsidRPr="00521C18">
              <w:rPr>
                <w:color w:val="000000"/>
                <w:highlight w:val="yellow"/>
              </w:rPr>
              <w:t>1.18</w:t>
            </w:r>
          </w:p>
        </w:tc>
        <w:tc>
          <w:tcPr>
            <w:tcW w:w="1257" w:type="dxa"/>
            <w:tcBorders>
              <w:top w:val="nil"/>
              <w:left w:val="nil"/>
              <w:bottom w:val="single" w:sz="4" w:space="0" w:color="auto"/>
              <w:right w:val="nil"/>
            </w:tcBorders>
            <w:shd w:val="clear" w:color="auto" w:fill="auto"/>
            <w:noWrap/>
            <w:vAlign w:val="bottom"/>
            <w:hideMark/>
          </w:tcPr>
          <w:p w:rsidR="00357530" w:rsidRPr="00521C18" w:rsidRDefault="00521C18" w:rsidP="00521C18">
            <w:pPr>
              <w:rPr>
                <w:color w:val="000000"/>
                <w:highlight w:val="yellow"/>
              </w:rPr>
            </w:pPr>
            <w:r w:rsidRPr="00521C18">
              <w:rPr>
                <w:color w:val="000000"/>
                <w:highlight w:val="yellow"/>
              </w:rPr>
              <w:t>0.75-1.87</w:t>
            </w:r>
          </w:p>
        </w:tc>
        <w:tc>
          <w:tcPr>
            <w:tcW w:w="1411" w:type="dxa"/>
            <w:tcBorders>
              <w:top w:val="nil"/>
              <w:left w:val="nil"/>
              <w:bottom w:val="single" w:sz="4" w:space="0" w:color="auto"/>
              <w:right w:val="nil"/>
            </w:tcBorders>
            <w:shd w:val="clear" w:color="auto" w:fill="auto"/>
            <w:noWrap/>
            <w:vAlign w:val="bottom"/>
            <w:hideMark/>
          </w:tcPr>
          <w:p w:rsidR="00357530" w:rsidRPr="00521C18" w:rsidRDefault="00357530" w:rsidP="00521C18">
            <w:pPr>
              <w:jc w:val="right"/>
              <w:rPr>
                <w:color w:val="000000"/>
                <w:highlight w:val="yellow"/>
              </w:rPr>
            </w:pPr>
            <w:r w:rsidRPr="00521C18">
              <w:rPr>
                <w:color w:val="000000"/>
                <w:highlight w:val="yellow"/>
              </w:rPr>
              <w:t>0.</w:t>
            </w:r>
            <w:r w:rsidR="00521C18" w:rsidRPr="00521C18">
              <w:rPr>
                <w:color w:val="000000"/>
                <w:highlight w:val="yellow"/>
              </w:rPr>
              <w:t>4</w:t>
            </w:r>
            <w:r w:rsidRPr="00521C18">
              <w:rPr>
                <w:color w:val="000000"/>
                <w:highlight w:val="yellow"/>
              </w:rPr>
              <w:t>6</w:t>
            </w:r>
            <w:r w:rsidR="00521C18" w:rsidRPr="00521C18">
              <w:rPr>
                <w:color w:val="000000"/>
                <w:highlight w:val="yellow"/>
              </w:rPr>
              <w:t>7</w:t>
            </w:r>
            <w:r w:rsidRPr="00521C18">
              <w:rPr>
                <w:color w:val="000000"/>
                <w:highlight w:val="yellow"/>
              </w:rPr>
              <w:t>4</w:t>
            </w:r>
          </w:p>
        </w:tc>
      </w:tr>
      <w:tr w:rsidR="00357530" w:rsidRPr="00357530" w:rsidTr="00357530">
        <w:trPr>
          <w:trHeight w:val="315"/>
        </w:trPr>
        <w:tc>
          <w:tcPr>
            <w:tcW w:w="2513" w:type="dxa"/>
            <w:tcBorders>
              <w:top w:val="nil"/>
              <w:left w:val="nil"/>
              <w:bottom w:val="nil"/>
              <w:right w:val="nil"/>
            </w:tcBorders>
            <w:shd w:val="clear" w:color="auto" w:fill="auto"/>
            <w:vAlign w:val="bottom"/>
            <w:hideMark/>
          </w:tcPr>
          <w:p w:rsidR="00357530" w:rsidRPr="00357530" w:rsidRDefault="00357530" w:rsidP="00357530">
            <w:pPr>
              <w:jc w:val="right"/>
              <w:rPr>
                <w:color w:val="000000"/>
              </w:rPr>
            </w:pPr>
          </w:p>
        </w:tc>
        <w:tc>
          <w:tcPr>
            <w:tcW w:w="3575" w:type="dxa"/>
            <w:gridSpan w:val="3"/>
            <w:tcBorders>
              <w:top w:val="nil"/>
              <w:left w:val="nil"/>
              <w:bottom w:val="nil"/>
              <w:right w:val="nil"/>
            </w:tcBorders>
            <w:shd w:val="clear" w:color="auto" w:fill="auto"/>
            <w:vAlign w:val="center"/>
            <w:hideMark/>
          </w:tcPr>
          <w:p w:rsidR="00357530" w:rsidRPr="00357530" w:rsidRDefault="00357530" w:rsidP="00357530">
            <w:pPr>
              <w:jc w:val="center"/>
              <w:rPr>
                <w:b/>
                <w:bCs/>
                <w:color w:val="000000"/>
              </w:rPr>
            </w:pPr>
            <w:r w:rsidRPr="00357530">
              <w:rPr>
                <w:b/>
                <w:bCs/>
                <w:color w:val="000000"/>
              </w:rPr>
              <w:t>Bacteremia</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b/>
                <w:bCs/>
                <w:color w:val="000000"/>
              </w:rPr>
              <w:t>Vaccination Status</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OR</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95% CI</w:t>
            </w:r>
          </w:p>
        </w:tc>
        <w:tc>
          <w:tcPr>
            <w:tcW w:w="1411"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P-value</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1 y</w:t>
            </w:r>
            <w:r>
              <w:rPr>
                <w:color w:val="000000"/>
              </w:rPr>
              <w:t>ea</w:t>
            </w:r>
            <w:r w:rsidRPr="00357530">
              <w:rPr>
                <w:color w:val="000000"/>
              </w:rPr>
              <w:t xml:space="preserve">r </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p>
        </w:tc>
        <w:tc>
          <w:tcPr>
            <w:tcW w:w="1411" w:type="dxa"/>
            <w:tcBorders>
              <w:top w:val="nil"/>
              <w:left w:val="nil"/>
              <w:bottom w:val="nil"/>
              <w:right w:val="nil"/>
            </w:tcBorders>
            <w:shd w:val="clear" w:color="auto" w:fill="auto"/>
            <w:vAlign w:val="center"/>
            <w:hideMark/>
          </w:tcPr>
          <w:p w:rsidR="00357530" w:rsidRPr="00357530" w:rsidRDefault="00357530" w:rsidP="00357530"/>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2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0.87</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0.31-2.44</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0.7939</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3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1.57</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0.66-3.76</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0.3080</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4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2.07</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0.90-4.75</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0.0878</w:t>
            </w:r>
          </w:p>
        </w:tc>
      </w:tr>
      <w:tr w:rsidR="00357530" w:rsidRPr="00357530" w:rsidTr="00357530">
        <w:trPr>
          <w:trHeight w:val="387"/>
        </w:trPr>
        <w:tc>
          <w:tcPr>
            <w:tcW w:w="2513" w:type="dxa"/>
            <w:tcBorders>
              <w:top w:val="nil"/>
              <w:left w:val="nil"/>
              <w:bottom w:val="single" w:sz="4" w:space="0" w:color="auto"/>
              <w:right w:val="nil"/>
            </w:tcBorders>
            <w:shd w:val="clear" w:color="auto" w:fill="auto"/>
            <w:vAlign w:val="center"/>
            <w:hideMark/>
          </w:tcPr>
          <w:p w:rsidR="00357530" w:rsidRPr="00357530" w:rsidRDefault="00357530" w:rsidP="002C4523">
            <w:pPr>
              <w:rPr>
                <w:color w:val="000000"/>
              </w:rPr>
            </w:pPr>
            <w:r w:rsidRPr="00357530">
              <w:rPr>
                <w:color w:val="000000"/>
              </w:rPr>
              <w:t>PV within 5 y</w:t>
            </w:r>
            <w:r>
              <w:rPr>
                <w:color w:val="000000"/>
              </w:rPr>
              <w:t>ea</w:t>
            </w:r>
            <w:r w:rsidRPr="00357530">
              <w:rPr>
                <w:color w:val="000000"/>
              </w:rPr>
              <w:t>rs</w:t>
            </w:r>
          </w:p>
        </w:tc>
        <w:tc>
          <w:tcPr>
            <w:tcW w:w="907" w:type="dxa"/>
            <w:tcBorders>
              <w:top w:val="nil"/>
              <w:left w:val="nil"/>
              <w:bottom w:val="single" w:sz="4" w:space="0" w:color="auto"/>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1.83</w:t>
            </w:r>
          </w:p>
        </w:tc>
        <w:tc>
          <w:tcPr>
            <w:tcW w:w="1257" w:type="dxa"/>
            <w:tcBorders>
              <w:top w:val="nil"/>
              <w:left w:val="nil"/>
              <w:bottom w:val="single" w:sz="4" w:space="0" w:color="auto"/>
              <w:right w:val="nil"/>
            </w:tcBorders>
            <w:shd w:val="clear" w:color="auto" w:fill="auto"/>
            <w:noWrap/>
            <w:vAlign w:val="bottom"/>
            <w:hideMark/>
          </w:tcPr>
          <w:p w:rsidR="00357530" w:rsidRPr="00357530" w:rsidRDefault="00357530" w:rsidP="00357530">
            <w:pPr>
              <w:rPr>
                <w:color w:val="000000"/>
              </w:rPr>
            </w:pPr>
            <w:r w:rsidRPr="00357530">
              <w:rPr>
                <w:color w:val="000000"/>
              </w:rPr>
              <w:t>0.80-4.19</w:t>
            </w:r>
          </w:p>
        </w:tc>
        <w:tc>
          <w:tcPr>
            <w:tcW w:w="1411" w:type="dxa"/>
            <w:tcBorders>
              <w:top w:val="nil"/>
              <w:left w:val="nil"/>
              <w:bottom w:val="single" w:sz="4" w:space="0" w:color="auto"/>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0.1558</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357530">
            <w:pPr>
              <w:jc w:val="right"/>
              <w:rPr>
                <w:color w:val="000000"/>
              </w:rPr>
            </w:pPr>
          </w:p>
        </w:tc>
        <w:tc>
          <w:tcPr>
            <w:tcW w:w="3575" w:type="dxa"/>
            <w:gridSpan w:val="3"/>
            <w:tcBorders>
              <w:top w:val="single" w:sz="4" w:space="0" w:color="auto"/>
              <w:left w:val="nil"/>
              <w:bottom w:val="nil"/>
              <w:right w:val="nil"/>
            </w:tcBorders>
            <w:shd w:val="clear" w:color="auto" w:fill="auto"/>
            <w:noWrap/>
            <w:vAlign w:val="bottom"/>
            <w:hideMark/>
          </w:tcPr>
          <w:p w:rsidR="00357530" w:rsidRPr="00357530" w:rsidRDefault="00357530" w:rsidP="00357530">
            <w:pPr>
              <w:jc w:val="center"/>
              <w:rPr>
                <w:b/>
                <w:bCs/>
                <w:color w:val="000000"/>
              </w:rPr>
            </w:pPr>
            <w:r w:rsidRPr="00357530">
              <w:rPr>
                <w:b/>
                <w:bCs/>
                <w:color w:val="000000"/>
              </w:rPr>
              <w:t>Respiratory Complications</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b/>
                <w:bCs/>
                <w:color w:val="000000"/>
              </w:rPr>
              <w:t>Vaccination Status</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OR</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95% CI</w:t>
            </w:r>
          </w:p>
        </w:tc>
        <w:tc>
          <w:tcPr>
            <w:tcW w:w="1411"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P-value</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1 y</w:t>
            </w:r>
            <w:r>
              <w:rPr>
                <w:color w:val="000000"/>
              </w:rPr>
              <w:t>ea</w:t>
            </w:r>
            <w:r w:rsidRPr="00357530">
              <w:rPr>
                <w:color w:val="000000"/>
              </w:rPr>
              <w:t xml:space="preserve">r </w:t>
            </w:r>
          </w:p>
        </w:tc>
        <w:tc>
          <w:tcPr>
            <w:tcW w:w="907" w:type="dxa"/>
            <w:tcBorders>
              <w:top w:val="nil"/>
              <w:left w:val="nil"/>
              <w:bottom w:val="nil"/>
              <w:right w:val="nil"/>
            </w:tcBorders>
            <w:shd w:val="clear" w:color="auto" w:fill="auto"/>
            <w:vAlign w:val="center"/>
            <w:hideMark/>
          </w:tcPr>
          <w:p w:rsidR="00357530" w:rsidRPr="00357530" w:rsidRDefault="00357530" w:rsidP="00357530">
            <w:pPr>
              <w:rPr>
                <w:color w:val="000000"/>
              </w:rPr>
            </w:pPr>
            <w:r w:rsidRPr="00357530">
              <w:rPr>
                <w:color w:val="000000"/>
              </w:rPr>
              <w:t>Ref</w:t>
            </w:r>
          </w:p>
        </w:tc>
        <w:tc>
          <w:tcPr>
            <w:tcW w:w="1257" w:type="dxa"/>
            <w:tcBorders>
              <w:top w:val="nil"/>
              <w:left w:val="nil"/>
              <w:bottom w:val="nil"/>
              <w:right w:val="nil"/>
            </w:tcBorders>
            <w:shd w:val="clear" w:color="auto" w:fill="auto"/>
            <w:vAlign w:val="center"/>
            <w:hideMark/>
          </w:tcPr>
          <w:p w:rsidR="00357530" w:rsidRPr="00357530" w:rsidRDefault="00357530" w:rsidP="00357530">
            <w:pPr>
              <w:rPr>
                <w:color w:val="000000"/>
              </w:rPr>
            </w:pPr>
          </w:p>
        </w:tc>
        <w:tc>
          <w:tcPr>
            <w:tcW w:w="1411" w:type="dxa"/>
            <w:tcBorders>
              <w:top w:val="nil"/>
              <w:left w:val="nil"/>
              <w:bottom w:val="nil"/>
              <w:right w:val="nil"/>
            </w:tcBorders>
            <w:shd w:val="clear" w:color="auto" w:fill="auto"/>
            <w:vAlign w:val="center"/>
            <w:hideMark/>
          </w:tcPr>
          <w:p w:rsidR="00357530" w:rsidRPr="00357530" w:rsidRDefault="00357530" w:rsidP="00357530"/>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2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0.94</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0.65-1.35</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0.7206</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3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0.88</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0.62-1.26</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0.4953</w:t>
            </w:r>
          </w:p>
        </w:tc>
      </w:tr>
      <w:tr w:rsidR="00357530" w:rsidRPr="00357530" w:rsidTr="00357530">
        <w:trPr>
          <w:trHeight w:val="315"/>
        </w:trPr>
        <w:tc>
          <w:tcPr>
            <w:tcW w:w="2513" w:type="dxa"/>
            <w:tcBorders>
              <w:top w:val="nil"/>
              <w:left w:val="nil"/>
              <w:bottom w:val="nil"/>
              <w:right w:val="nil"/>
            </w:tcBorders>
            <w:shd w:val="clear" w:color="auto" w:fill="auto"/>
            <w:vAlign w:val="center"/>
            <w:hideMark/>
          </w:tcPr>
          <w:p w:rsidR="00357530" w:rsidRPr="00357530" w:rsidRDefault="00357530" w:rsidP="002C4523">
            <w:pPr>
              <w:rPr>
                <w:color w:val="000000"/>
              </w:rPr>
            </w:pPr>
            <w:r w:rsidRPr="00357530">
              <w:rPr>
                <w:color w:val="000000"/>
              </w:rPr>
              <w:t>PV within 4 y</w:t>
            </w:r>
            <w:r>
              <w:rPr>
                <w:color w:val="000000"/>
              </w:rPr>
              <w:t>ea</w:t>
            </w:r>
            <w:r w:rsidRPr="00357530">
              <w:rPr>
                <w:color w:val="000000"/>
              </w:rPr>
              <w:t>rs</w:t>
            </w:r>
          </w:p>
        </w:tc>
        <w:tc>
          <w:tcPr>
            <w:tcW w:w="907"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1.03</w:t>
            </w:r>
          </w:p>
        </w:tc>
        <w:tc>
          <w:tcPr>
            <w:tcW w:w="1257" w:type="dxa"/>
            <w:tcBorders>
              <w:top w:val="nil"/>
              <w:left w:val="nil"/>
              <w:bottom w:val="nil"/>
              <w:right w:val="nil"/>
            </w:tcBorders>
            <w:shd w:val="clear" w:color="auto" w:fill="auto"/>
            <w:noWrap/>
            <w:vAlign w:val="bottom"/>
            <w:hideMark/>
          </w:tcPr>
          <w:p w:rsidR="00357530" w:rsidRPr="00357530" w:rsidRDefault="00357530" w:rsidP="00357530">
            <w:pPr>
              <w:rPr>
                <w:color w:val="000000"/>
              </w:rPr>
            </w:pPr>
            <w:r w:rsidRPr="00357530">
              <w:rPr>
                <w:color w:val="000000"/>
              </w:rPr>
              <w:t>0.73-1.45</w:t>
            </w:r>
          </w:p>
        </w:tc>
        <w:tc>
          <w:tcPr>
            <w:tcW w:w="1411" w:type="dxa"/>
            <w:tcBorders>
              <w:top w:val="nil"/>
              <w:left w:val="nil"/>
              <w:bottom w:val="nil"/>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0.8784</w:t>
            </w:r>
          </w:p>
        </w:tc>
      </w:tr>
      <w:tr w:rsidR="00357530" w:rsidRPr="00357530" w:rsidTr="00357530">
        <w:trPr>
          <w:trHeight w:val="261"/>
        </w:trPr>
        <w:tc>
          <w:tcPr>
            <w:tcW w:w="2513" w:type="dxa"/>
            <w:tcBorders>
              <w:top w:val="nil"/>
              <w:left w:val="nil"/>
              <w:bottom w:val="single" w:sz="8" w:space="0" w:color="auto"/>
              <w:right w:val="nil"/>
            </w:tcBorders>
            <w:shd w:val="clear" w:color="auto" w:fill="auto"/>
            <w:vAlign w:val="center"/>
            <w:hideMark/>
          </w:tcPr>
          <w:p w:rsidR="00357530" w:rsidRPr="00357530" w:rsidRDefault="00357530" w:rsidP="002C4523">
            <w:pPr>
              <w:rPr>
                <w:color w:val="000000"/>
              </w:rPr>
            </w:pPr>
            <w:r w:rsidRPr="00357530">
              <w:rPr>
                <w:color w:val="000000"/>
              </w:rPr>
              <w:t>PV within 5 y</w:t>
            </w:r>
            <w:r>
              <w:rPr>
                <w:color w:val="000000"/>
              </w:rPr>
              <w:t>ea</w:t>
            </w:r>
            <w:r w:rsidRPr="00357530">
              <w:rPr>
                <w:color w:val="000000"/>
              </w:rPr>
              <w:t>rs</w:t>
            </w:r>
          </w:p>
        </w:tc>
        <w:tc>
          <w:tcPr>
            <w:tcW w:w="907" w:type="dxa"/>
            <w:tcBorders>
              <w:top w:val="nil"/>
              <w:left w:val="nil"/>
              <w:bottom w:val="single" w:sz="8" w:space="0" w:color="auto"/>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0.83</w:t>
            </w:r>
          </w:p>
        </w:tc>
        <w:tc>
          <w:tcPr>
            <w:tcW w:w="1257" w:type="dxa"/>
            <w:tcBorders>
              <w:top w:val="nil"/>
              <w:left w:val="nil"/>
              <w:bottom w:val="single" w:sz="8" w:space="0" w:color="auto"/>
              <w:right w:val="nil"/>
            </w:tcBorders>
            <w:shd w:val="clear" w:color="auto" w:fill="auto"/>
            <w:noWrap/>
            <w:vAlign w:val="bottom"/>
            <w:hideMark/>
          </w:tcPr>
          <w:p w:rsidR="00357530" w:rsidRPr="00357530" w:rsidRDefault="00357530" w:rsidP="00357530">
            <w:pPr>
              <w:rPr>
                <w:color w:val="000000"/>
              </w:rPr>
            </w:pPr>
            <w:r w:rsidRPr="00357530">
              <w:rPr>
                <w:color w:val="000000"/>
              </w:rPr>
              <w:t>0.59-1.17</w:t>
            </w:r>
          </w:p>
        </w:tc>
        <w:tc>
          <w:tcPr>
            <w:tcW w:w="1411" w:type="dxa"/>
            <w:tcBorders>
              <w:top w:val="nil"/>
              <w:left w:val="nil"/>
              <w:bottom w:val="single" w:sz="8" w:space="0" w:color="auto"/>
              <w:right w:val="nil"/>
            </w:tcBorders>
            <w:shd w:val="clear" w:color="auto" w:fill="auto"/>
            <w:noWrap/>
            <w:vAlign w:val="bottom"/>
            <w:hideMark/>
          </w:tcPr>
          <w:p w:rsidR="00357530" w:rsidRPr="00357530" w:rsidRDefault="00357530" w:rsidP="00357530">
            <w:pPr>
              <w:jc w:val="right"/>
              <w:rPr>
                <w:color w:val="000000"/>
              </w:rPr>
            </w:pPr>
            <w:r w:rsidRPr="00357530">
              <w:rPr>
                <w:color w:val="000000"/>
              </w:rPr>
              <w:t>0.2892</w:t>
            </w:r>
          </w:p>
        </w:tc>
      </w:tr>
    </w:tbl>
    <w:p w:rsidR="002C4523" w:rsidRPr="00C86D4C" w:rsidRDefault="002C4523" w:rsidP="002C4523">
      <w:pPr>
        <w:tabs>
          <w:tab w:val="left" w:pos="2430"/>
        </w:tabs>
      </w:pPr>
      <w:r>
        <w:t>IR</w:t>
      </w:r>
      <w:r w:rsidRPr="00C86D4C">
        <w:t xml:space="preserve">R: </w:t>
      </w:r>
      <w:r>
        <w:t xml:space="preserve">Incident Rate Ratio; </w:t>
      </w:r>
      <w:r w:rsidRPr="00C86D4C">
        <w:t>OR: Odds Ratio; PV: Pneumococcal Vaccine; FV: Influenza Vaccine</w:t>
      </w:r>
    </w:p>
    <w:p w:rsidR="002C4523" w:rsidRDefault="002C4523" w:rsidP="002C4523"/>
    <w:p w:rsidR="00357530" w:rsidRPr="00A85AA0" w:rsidRDefault="00A85AA0" w:rsidP="002C4523">
      <w:r w:rsidRPr="00A85AA0">
        <w:t>* Th</w:t>
      </w:r>
      <w:r w:rsidR="002C4523">
        <w:t>e</w:t>
      </w:r>
      <w:r w:rsidRPr="00A85AA0">
        <w:t xml:space="preserve"> analys</w:t>
      </w:r>
      <w:r w:rsidR="002C4523">
        <w:t>e</w:t>
      </w:r>
      <w:r w:rsidRPr="00A85AA0">
        <w:t xml:space="preserve">s </w:t>
      </w:r>
      <w:r w:rsidR="002C4523">
        <w:t>were conducted among 3015 patients who had</w:t>
      </w:r>
      <w:r w:rsidRPr="00A85AA0">
        <w:t xml:space="preserve"> prior PV.</w:t>
      </w:r>
    </w:p>
    <w:p w:rsidR="002C4523" w:rsidRDefault="002C4523" w:rsidP="002C4523"/>
    <w:p w:rsidR="00357530" w:rsidRDefault="00CB0061">
      <w:r w:rsidRPr="00CB0061">
        <w:t xml:space="preserve">All analyses have adjusted for patient's age, gender, race, marital status, </w:t>
      </w:r>
      <w:proofErr w:type="gramStart"/>
      <w:r w:rsidRPr="00CB0061">
        <w:t>comorbidity</w:t>
      </w:r>
      <w:proofErr w:type="gramEnd"/>
      <w:r w:rsidRPr="00CB0061">
        <w:t xml:space="preserve"> index score, non-mental health outpatient visits and CAP hospitalization in the previous year, and any acute respiratory conditions experienced in the previous 30 days. Analyses of length of stay and inpatient death additionally adjusted for development of bacteremia, and respiratory complications.</w:t>
      </w:r>
      <w:bookmarkStart w:id="0" w:name="_GoBack"/>
      <w:bookmarkEnd w:id="0"/>
    </w:p>
    <w:sectPr w:rsidR="00357530" w:rsidSect="0046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5F"/>
    <w:rsid w:val="0000040E"/>
    <w:rsid w:val="000B1391"/>
    <w:rsid w:val="000C51C9"/>
    <w:rsid w:val="00145EB9"/>
    <w:rsid w:val="001D435F"/>
    <w:rsid w:val="0020660A"/>
    <w:rsid w:val="00274D77"/>
    <w:rsid w:val="002C4523"/>
    <w:rsid w:val="00337FA1"/>
    <w:rsid w:val="00357530"/>
    <w:rsid w:val="003C7C2D"/>
    <w:rsid w:val="00432CF2"/>
    <w:rsid w:val="004633CC"/>
    <w:rsid w:val="00521C18"/>
    <w:rsid w:val="00552910"/>
    <w:rsid w:val="00661A30"/>
    <w:rsid w:val="006D6D0F"/>
    <w:rsid w:val="00717D92"/>
    <w:rsid w:val="0074009F"/>
    <w:rsid w:val="008224F7"/>
    <w:rsid w:val="00881EC5"/>
    <w:rsid w:val="008D1C54"/>
    <w:rsid w:val="009452FF"/>
    <w:rsid w:val="00953571"/>
    <w:rsid w:val="009729DD"/>
    <w:rsid w:val="0097661D"/>
    <w:rsid w:val="00994D1A"/>
    <w:rsid w:val="00A5641D"/>
    <w:rsid w:val="00A75B3A"/>
    <w:rsid w:val="00A85AA0"/>
    <w:rsid w:val="00B7766F"/>
    <w:rsid w:val="00BB7977"/>
    <w:rsid w:val="00BC5838"/>
    <w:rsid w:val="00BF02B9"/>
    <w:rsid w:val="00C60075"/>
    <w:rsid w:val="00CB0061"/>
    <w:rsid w:val="00D03E25"/>
    <w:rsid w:val="00DD6AC4"/>
    <w:rsid w:val="00E10299"/>
    <w:rsid w:val="00E2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BA4D0-51BB-440A-B00C-80875DD9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35F"/>
    <w:rPr>
      <w:rFonts w:ascii="Tahoma" w:hAnsi="Tahoma" w:cs="Tahoma"/>
      <w:sz w:val="16"/>
      <w:szCs w:val="16"/>
    </w:rPr>
  </w:style>
  <w:style w:type="character" w:customStyle="1" w:styleId="BalloonTextChar">
    <w:name w:val="Balloon Text Char"/>
    <w:basedOn w:val="DefaultParagraphFont"/>
    <w:link w:val="BalloonText"/>
    <w:uiPriority w:val="99"/>
    <w:semiHidden/>
    <w:rsid w:val="001D435F"/>
    <w:rPr>
      <w:rFonts w:ascii="Tahoma" w:eastAsia="Times New Roman" w:hAnsi="Tahoma" w:cs="Tahoma"/>
      <w:sz w:val="16"/>
      <w:szCs w:val="16"/>
    </w:rPr>
  </w:style>
  <w:style w:type="paragraph" w:styleId="ListParagraph">
    <w:name w:val="List Paragraph"/>
    <w:basedOn w:val="Normal"/>
    <w:uiPriority w:val="34"/>
    <w:qFormat/>
    <w:rsid w:val="0035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022">
      <w:bodyDiv w:val="1"/>
      <w:marLeft w:val="0"/>
      <w:marRight w:val="0"/>
      <w:marTop w:val="0"/>
      <w:marBottom w:val="0"/>
      <w:divBdr>
        <w:top w:val="none" w:sz="0" w:space="0" w:color="auto"/>
        <w:left w:val="none" w:sz="0" w:space="0" w:color="auto"/>
        <w:bottom w:val="none" w:sz="0" w:space="0" w:color="auto"/>
        <w:right w:val="none" w:sz="0" w:space="0" w:color="auto"/>
      </w:divBdr>
    </w:div>
    <w:div w:id="274946650">
      <w:bodyDiv w:val="1"/>
      <w:marLeft w:val="0"/>
      <w:marRight w:val="0"/>
      <w:marTop w:val="0"/>
      <w:marBottom w:val="0"/>
      <w:divBdr>
        <w:top w:val="none" w:sz="0" w:space="0" w:color="auto"/>
        <w:left w:val="none" w:sz="0" w:space="0" w:color="auto"/>
        <w:bottom w:val="none" w:sz="0" w:space="0" w:color="auto"/>
        <w:right w:val="none" w:sz="0" w:space="0" w:color="auto"/>
      </w:divBdr>
    </w:div>
    <w:div w:id="6935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lichenghui</dc:creator>
  <cp:lastModifiedBy>Li, Chenghui</cp:lastModifiedBy>
  <cp:revision>7</cp:revision>
  <dcterms:created xsi:type="dcterms:W3CDTF">2015-01-12T19:42:00Z</dcterms:created>
  <dcterms:modified xsi:type="dcterms:W3CDTF">2015-01-13T16:46:00Z</dcterms:modified>
</cp:coreProperties>
</file>