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1" w:rsidRPr="00CD78A1" w:rsidRDefault="00CD78A1">
      <w:pPr>
        <w:rPr>
          <w:i/>
          <w:lang w:val="en-CA"/>
        </w:rPr>
      </w:pPr>
      <w:bookmarkStart w:id="0" w:name="_GoBack"/>
      <w:bookmarkEnd w:id="0"/>
      <w:r w:rsidRPr="00CD78A1">
        <w:rPr>
          <w:i/>
          <w:lang w:val="en-CA"/>
        </w:rPr>
        <w:t>Appendix 1 -Interrupted time series</w:t>
      </w:r>
    </w:p>
    <w:p w:rsidR="00CD78A1" w:rsidRDefault="00CD78A1" w:rsidP="00CD78A1">
      <w:pPr>
        <w:spacing w:line="480" w:lineRule="auto"/>
        <w:ind w:firstLine="720"/>
        <w:jc w:val="both"/>
        <w:rPr>
          <w:rFonts w:ascii="Times New Roman" w:hAnsi="Times New Roman"/>
          <w:sz w:val="24"/>
          <w:szCs w:val="24"/>
          <w:lang w:eastAsia="en-CA"/>
        </w:rPr>
      </w:pPr>
      <w:r>
        <w:rPr>
          <w:rFonts w:ascii="Times New Roman" w:hAnsi="Times New Roman"/>
          <w:sz w:val="24"/>
          <w:szCs w:val="24"/>
        </w:rPr>
        <w:t xml:space="preserve">Each interrupted time series can be specified as E(Y) = constant + β0*t + β1*X1+ β2 *t*X1, where </w:t>
      </w:r>
      <w:proofErr w:type="spellStart"/>
      <w:r>
        <w:rPr>
          <w:rFonts w:ascii="Times New Roman" w:hAnsi="Times New Roman"/>
          <w:sz w:val="24"/>
          <w:szCs w:val="24"/>
        </w:rPr>
        <w:t>Y</w:t>
      </w:r>
      <w:r>
        <w:rPr>
          <w:rFonts w:ascii="Times New Roman" w:hAnsi="Times New Roman"/>
          <w:sz w:val="24"/>
          <w:szCs w:val="24"/>
        </w:rPr>
        <w:softHyphen/>
      </w:r>
      <w:r>
        <w:rPr>
          <w:rFonts w:ascii="Times New Roman" w:hAnsi="Times New Roman"/>
          <w:sz w:val="24"/>
          <w:szCs w:val="24"/>
          <w:vertAlign w:val="subscript"/>
        </w:rPr>
        <w:t>t</w:t>
      </w:r>
      <w:proofErr w:type="spellEnd"/>
      <w:r>
        <w:rPr>
          <w:rFonts w:ascii="Times New Roman" w:hAnsi="Times New Roman"/>
          <w:sz w:val="24"/>
          <w:szCs w:val="24"/>
        </w:rPr>
        <w:t xml:space="preserve"> is the dependent variable (PPI use), t indicates the order of the observations (fiscal period) and X1 is a dummy variable indicating whether the observation was taken before or after the intervention.  In this method we use the pre-intervention period as the control for the post intervention period.   If β1 is statistically different from zero this implies there was a change in the absolute level of use of the drug post intervention.  If β2 is statistically different from zero this implies there was a change in the trend of use (slope of the line) post intervention.  </w:t>
      </w:r>
      <w:r>
        <w:rPr>
          <w:rFonts w:ascii="Times New Roman" w:hAnsi="Times New Roman"/>
          <w:sz w:val="24"/>
          <w:szCs w:val="24"/>
          <w:lang w:eastAsia="en-CA"/>
        </w:rPr>
        <w:t>Alpha</w:t>
      </w:r>
      <w:r w:rsidRPr="002768A8">
        <w:rPr>
          <w:rFonts w:ascii="Times New Roman" w:hAnsi="Times New Roman"/>
          <w:sz w:val="24"/>
          <w:szCs w:val="24"/>
          <w:lang w:eastAsia="en-CA"/>
        </w:rPr>
        <w:t xml:space="preserve"> was p</w:t>
      </w:r>
      <w:r>
        <w:rPr>
          <w:rFonts w:ascii="Times New Roman" w:hAnsi="Times New Roman"/>
          <w:sz w:val="24"/>
          <w:szCs w:val="24"/>
          <w:lang w:eastAsia="en-CA"/>
        </w:rPr>
        <w:t>=</w:t>
      </w:r>
      <w:r w:rsidRPr="002768A8">
        <w:rPr>
          <w:rFonts w:ascii="Times New Roman" w:hAnsi="Times New Roman"/>
          <w:sz w:val="24"/>
          <w:szCs w:val="24"/>
          <w:lang w:eastAsia="en-CA"/>
        </w:rPr>
        <w:t>0.05</w:t>
      </w:r>
      <w:r>
        <w:rPr>
          <w:rFonts w:ascii="Times New Roman" w:hAnsi="Times New Roman"/>
          <w:sz w:val="24"/>
          <w:szCs w:val="24"/>
          <w:lang w:eastAsia="en-CA"/>
        </w:rPr>
        <w:t>.</w:t>
      </w:r>
    </w:p>
    <w:p w:rsidR="00CD78A1" w:rsidRPr="00CD78A1" w:rsidRDefault="00CD78A1">
      <w:pPr>
        <w:rPr>
          <w:lang w:val="en-CA"/>
        </w:rPr>
      </w:pPr>
    </w:p>
    <w:p w:rsidR="00583F91" w:rsidRDefault="00583F91">
      <w:pPr>
        <w:rPr>
          <w:lang w:val="en-CA"/>
        </w:rPr>
      </w:pPr>
      <w:r>
        <w:rPr>
          <w:lang w:val="en-CA"/>
        </w:rPr>
        <w:lastRenderedPageBreak/>
        <w:t xml:space="preserve">Appendix </w:t>
      </w:r>
      <w:r w:rsidR="00CD78A1">
        <w:rPr>
          <w:lang w:val="en-CA"/>
        </w:rPr>
        <w:t>2</w:t>
      </w:r>
      <w:r>
        <w:rPr>
          <w:lang w:val="en-CA"/>
        </w:rPr>
        <w:t xml:space="preserve"> – PPI audit online tool</w:t>
      </w:r>
      <w:r>
        <w:rPr>
          <w:noProof/>
        </w:rPr>
        <w:drawing>
          <wp:inline distT="0" distB="0" distL="0" distR="0" wp14:anchorId="7A9C3D3E" wp14:editId="56E66F87">
            <wp:extent cx="4847619" cy="7933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47619" cy="7933334"/>
                    </a:xfrm>
                    <a:prstGeom prst="rect">
                      <a:avLst/>
                    </a:prstGeom>
                  </pic:spPr>
                </pic:pic>
              </a:graphicData>
            </a:graphic>
          </wp:inline>
        </w:drawing>
      </w:r>
    </w:p>
    <w:p w:rsidR="00583F91" w:rsidRDefault="00583F91">
      <w:pPr>
        <w:rPr>
          <w:lang w:val="en-CA"/>
        </w:rPr>
      </w:pPr>
      <w:r>
        <w:rPr>
          <w:noProof/>
        </w:rPr>
        <w:lastRenderedPageBreak/>
        <w:drawing>
          <wp:inline distT="0" distB="0" distL="0" distR="0" wp14:anchorId="1F65D317" wp14:editId="4F34FE20">
            <wp:extent cx="5943600" cy="466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662805"/>
                    </a:xfrm>
                    <a:prstGeom prst="rect">
                      <a:avLst/>
                    </a:prstGeom>
                  </pic:spPr>
                </pic:pic>
              </a:graphicData>
            </a:graphic>
          </wp:inline>
        </w:drawing>
      </w:r>
    </w:p>
    <w:p w:rsidR="00583F91" w:rsidRDefault="00583F91">
      <w:pPr>
        <w:rPr>
          <w:lang w:val="en-CA"/>
        </w:rPr>
      </w:pPr>
      <w:r>
        <w:rPr>
          <w:lang w:val="en-CA"/>
        </w:rPr>
        <w:br w:type="page"/>
      </w:r>
    </w:p>
    <w:p w:rsidR="00583F91" w:rsidRDefault="00583F91">
      <w:pPr>
        <w:rPr>
          <w:lang w:val="en-CA"/>
        </w:rPr>
      </w:pPr>
      <w:r>
        <w:rPr>
          <w:lang w:val="en-CA"/>
        </w:rPr>
        <w:lastRenderedPageBreak/>
        <w:t xml:space="preserve">Appendix </w:t>
      </w:r>
      <w:r w:rsidR="00CD78A1">
        <w:rPr>
          <w:lang w:val="en-CA"/>
        </w:rPr>
        <w:t>3</w:t>
      </w:r>
      <w:r>
        <w:rPr>
          <w:lang w:val="en-CA"/>
        </w:rPr>
        <w:t xml:space="preserve"> – Letter to community doctors</w:t>
      </w:r>
    </w:p>
    <w:p w:rsidR="00583F91" w:rsidRDefault="00583F91" w:rsidP="00583F91">
      <w:pPr>
        <w:rPr>
          <w:rFonts w:ascii="Times New Roman" w:hAnsi="Times New Roman"/>
          <w:color w:val="000000"/>
        </w:rPr>
      </w:pPr>
      <w:r w:rsidRPr="002E6210">
        <w:rPr>
          <w:rFonts w:ascii="Times New Roman" w:hAnsi="Times New Roman"/>
          <w:color w:val="000000"/>
        </w:rPr>
        <w:t>Dear Doctor,</w:t>
      </w:r>
      <w:r w:rsidRPr="002E6210">
        <w:rPr>
          <w:rFonts w:ascii="Times New Roman" w:hAnsi="Times New Roman"/>
          <w:color w:val="000000"/>
        </w:rPr>
        <w:br/>
      </w:r>
    </w:p>
    <w:p w:rsidR="00583F91" w:rsidRPr="002E6210" w:rsidRDefault="00583F91" w:rsidP="00583F91">
      <w:pPr>
        <w:rPr>
          <w:rFonts w:ascii="Times New Roman" w:hAnsi="Times New Roman"/>
          <w:color w:val="000000"/>
        </w:rPr>
      </w:pPr>
      <w:r w:rsidRPr="002E6210">
        <w:rPr>
          <w:rFonts w:ascii="Times New Roman" w:hAnsi="Times New Roman"/>
          <w:color w:val="000000"/>
        </w:rPr>
        <w:t xml:space="preserve">Recently both the FDA and Health Canada have sent out advisory notices about the risks of proton pump inhibitor therapy (PPI) including osteoporotic fracture, hypomagnesaemia, and an increased risk of </w:t>
      </w:r>
      <w:r w:rsidRPr="002E6210">
        <w:rPr>
          <w:rFonts w:ascii="Times New Roman" w:hAnsi="Times New Roman"/>
          <w:i/>
          <w:iCs/>
          <w:color w:val="000000"/>
        </w:rPr>
        <w:t>C. difficile</w:t>
      </w:r>
      <w:r w:rsidRPr="002E6210">
        <w:rPr>
          <w:rFonts w:ascii="Times New Roman" w:hAnsi="Times New Roman"/>
          <w:color w:val="000000"/>
        </w:rPr>
        <w:t xml:space="preserve"> associated diarrhea.</w:t>
      </w:r>
      <w:r w:rsidRPr="002E6210">
        <w:rPr>
          <w:rFonts w:ascii="Times New Roman" w:hAnsi="Times New Roman"/>
          <w:color w:val="000000"/>
        </w:rPr>
        <w:br/>
      </w:r>
      <w:r w:rsidRPr="002E6210">
        <w:rPr>
          <w:rFonts w:ascii="Times New Roman" w:hAnsi="Times New Roman"/>
          <w:color w:val="000000"/>
        </w:rPr>
        <w:br/>
        <w:t xml:space="preserve">As part of an ongoing effort to improve the care of our shared patients, we have reviewed the indications for PPI use in this patient and have recommended that they discontinue at present.  To avoid rebound </w:t>
      </w:r>
      <w:proofErr w:type="spellStart"/>
      <w:r w:rsidRPr="002E6210">
        <w:rPr>
          <w:rFonts w:ascii="Times New Roman" w:hAnsi="Times New Roman"/>
          <w:color w:val="000000"/>
        </w:rPr>
        <w:t>hypersecretion</w:t>
      </w:r>
      <w:proofErr w:type="spellEnd"/>
      <w:r w:rsidRPr="002E6210">
        <w:rPr>
          <w:rFonts w:ascii="Times New Roman" w:hAnsi="Times New Roman"/>
          <w:color w:val="000000"/>
        </w:rPr>
        <w:t>, a tapering dose will have been prescribed in patients who were on high dose therapy or those who have received therapy for greater than six months.</w:t>
      </w:r>
    </w:p>
    <w:p w:rsidR="00583F91" w:rsidRPr="002E6210" w:rsidRDefault="00583F91" w:rsidP="00583F91">
      <w:pPr>
        <w:rPr>
          <w:rFonts w:ascii="Times New Roman" w:hAnsi="Times New Roman"/>
          <w:color w:val="000000"/>
        </w:rPr>
      </w:pPr>
      <w:r w:rsidRPr="002E6210">
        <w:rPr>
          <w:rFonts w:ascii="Times New Roman" w:hAnsi="Times New Roman"/>
          <w:color w:val="000000"/>
        </w:rPr>
        <w:t xml:space="preserve">In the event that our information </w:t>
      </w:r>
      <w:r>
        <w:rPr>
          <w:rFonts w:ascii="Times New Roman" w:hAnsi="Times New Roman"/>
          <w:color w:val="000000"/>
        </w:rPr>
        <w:t xml:space="preserve">regarding indication was </w:t>
      </w:r>
      <w:r w:rsidRPr="002E6210">
        <w:rPr>
          <w:rFonts w:ascii="Times New Roman" w:hAnsi="Times New Roman"/>
          <w:color w:val="000000"/>
        </w:rPr>
        <w:t>incorrect, we ask that you review the indication</w:t>
      </w:r>
      <w:r>
        <w:rPr>
          <w:rFonts w:ascii="Times New Roman" w:hAnsi="Times New Roman"/>
          <w:color w:val="000000"/>
        </w:rPr>
        <w:t>s</w:t>
      </w:r>
      <w:r w:rsidRPr="002E6210">
        <w:rPr>
          <w:rFonts w:ascii="Times New Roman" w:hAnsi="Times New Roman"/>
          <w:color w:val="000000"/>
        </w:rPr>
        <w:t xml:space="preserve"> for restarting therapy at your next visit.  We will also arrange </w:t>
      </w:r>
      <w:r>
        <w:rPr>
          <w:rFonts w:ascii="Times New Roman" w:hAnsi="Times New Roman"/>
          <w:color w:val="000000"/>
        </w:rPr>
        <w:t xml:space="preserve">telephone </w:t>
      </w:r>
      <w:r w:rsidRPr="002E6210">
        <w:rPr>
          <w:rFonts w:ascii="Times New Roman" w:hAnsi="Times New Roman"/>
          <w:color w:val="000000"/>
        </w:rPr>
        <w:t>follow up at three months to assess for the efficacy of this intervention and to re-address the indications for PPI</w:t>
      </w:r>
      <w:r>
        <w:rPr>
          <w:rFonts w:ascii="Times New Roman" w:hAnsi="Times New Roman"/>
          <w:color w:val="000000"/>
        </w:rPr>
        <w:t xml:space="preserve"> use</w:t>
      </w:r>
      <w:r w:rsidRPr="002E6210">
        <w:rPr>
          <w:rFonts w:ascii="Times New Roman" w:hAnsi="Times New Roman"/>
          <w:color w:val="000000"/>
        </w:rPr>
        <w:t>.</w:t>
      </w:r>
    </w:p>
    <w:p w:rsidR="00583F91" w:rsidRPr="002E6210" w:rsidRDefault="00583F91" w:rsidP="00583F91">
      <w:pPr>
        <w:rPr>
          <w:rFonts w:ascii="Times New Roman" w:hAnsi="Times New Roman"/>
          <w:color w:val="000000"/>
        </w:rPr>
      </w:pPr>
      <w:r w:rsidRPr="002E6210">
        <w:rPr>
          <w:rFonts w:ascii="Times New Roman" w:hAnsi="Times New Roman"/>
          <w:color w:val="000000"/>
          <w:u w:val="single"/>
        </w:rPr>
        <w:t>Indications:</w:t>
      </w:r>
    </w:p>
    <w:p w:rsidR="00583F91" w:rsidRPr="002E6210" w:rsidRDefault="00583F91" w:rsidP="00583F91">
      <w:pPr>
        <w:pStyle w:val="ListParagraph"/>
        <w:numPr>
          <w:ilvl w:val="0"/>
          <w:numId w:val="1"/>
        </w:numPr>
        <w:rPr>
          <w:rFonts w:ascii="Times New Roman" w:hAnsi="Times New Roman"/>
        </w:rPr>
      </w:pPr>
      <w:r w:rsidRPr="002E6210">
        <w:rPr>
          <w:rFonts w:ascii="Times New Roman" w:hAnsi="Times New Roman"/>
          <w:color w:val="403838"/>
          <w:shd w:val="clear" w:color="auto" w:fill="FFFFFF"/>
        </w:rPr>
        <w:t>Gastric and duodenal ulcer within the past 3 months</w:t>
      </w:r>
    </w:p>
    <w:p w:rsidR="00583F91" w:rsidRPr="002E6210" w:rsidRDefault="00583F91" w:rsidP="00583F91">
      <w:pPr>
        <w:pStyle w:val="ListParagraph"/>
        <w:numPr>
          <w:ilvl w:val="1"/>
          <w:numId w:val="1"/>
        </w:numPr>
        <w:rPr>
          <w:rFonts w:ascii="Times New Roman" w:hAnsi="Times New Roman"/>
        </w:rPr>
      </w:pPr>
      <w:r w:rsidRPr="002E6210">
        <w:rPr>
          <w:rFonts w:ascii="Times New Roman" w:hAnsi="Times New Roman"/>
          <w:color w:val="403838"/>
          <w:shd w:val="clear" w:color="auto" w:fill="FFFFFF"/>
        </w:rPr>
        <w:t>Further suppression can be accomplished with once daily H2 blockers in high risk patients (complications, frequent recurrences, refractory/giant/</w:t>
      </w:r>
      <w:proofErr w:type="spellStart"/>
      <w:r w:rsidRPr="002E6210">
        <w:rPr>
          <w:rFonts w:ascii="Times New Roman" w:hAnsi="Times New Roman"/>
          <w:color w:val="403838"/>
          <w:shd w:val="clear" w:color="auto" w:fill="FFFFFF"/>
        </w:rPr>
        <w:t>fibrosed</w:t>
      </w:r>
      <w:proofErr w:type="spellEnd"/>
      <w:r w:rsidRPr="002E6210">
        <w:rPr>
          <w:rFonts w:ascii="Times New Roman" w:hAnsi="Times New Roman"/>
          <w:color w:val="403838"/>
          <w:shd w:val="clear" w:color="auto" w:fill="FFFFFF"/>
        </w:rPr>
        <w:t xml:space="preserve"> ulcers)</w:t>
      </w:r>
    </w:p>
    <w:p w:rsidR="00583F91" w:rsidRPr="005E1433" w:rsidRDefault="00583F91" w:rsidP="00583F91">
      <w:pPr>
        <w:pStyle w:val="ListParagraph"/>
        <w:numPr>
          <w:ilvl w:val="0"/>
          <w:numId w:val="1"/>
        </w:numPr>
        <w:rPr>
          <w:rFonts w:ascii="Times New Roman" w:hAnsi="Times New Roman"/>
        </w:rPr>
      </w:pPr>
      <w:r w:rsidRPr="002E6210">
        <w:rPr>
          <w:rFonts w:ascii="Times New Roman" w:hAnsi="Times New Roman"/>
          <w:color w:val="403838"/>
          <w:shd w:val="clear" w:color="auto" w:fill="FFFFFF"/>
        </w:rPr>
        <w:t xml:space="preserve">Pathological </w:t>
      </w:r>
      <w:proofErr w:type="spellStart"/>
      <w:r w:rsidRPr="002E6210">
        <w:rPr>
          <w:rFonts w:ascii="Times New Roman" w:hAnsi="Times New Roman"/>
          <w:color w:val="403838"/>
          <w:shd w:val="clear" w:color="auto" w:fill="FFFFFF"/>
        </w:rPr>
        <w:t>hypersecretory</w:t>
      </w:r>
      <w:proofErr w:type="spellEnd"/>
      <w:r w:rsidRPr="002E6210">
        <w:rPr>
          <w:rFonts w:ascii="Times New Roman" w:hAnsi="Times New Roman"/>
          <w:color w:val="403838"/>
          <w:shd w:val="clear" w:color="auto" w:fill="FFFFFF"/>
        </w:rPr>
        <w:t xml:space="preserve"> conditions (i.e. </w:t>
      </w:r>
      <w:proofErr w:type="spellStart"/>
      <w:r w:rsidRPr="002E6210">
        <w:rPr>
          <w:rFonts w:ascii="Times New Roman" w:hAnsi="Times New Roman"/>
          <w:color w:val="403838"/>
          <w:shd w:val="clear" w:color="auto" w:fill="FFFFFF"/>
        </w:rPr>
        <w:t>Zollinger</w:t>
      </w:r>
      <w:proofErr w:type="spellEnd"/>
      <w:r w:rsidRPr="002E6210">
        <w:rPr>
          <w:rFonts w:ascii="Times New Roman" w:hAnsi="Times New Roman"/>
          <w:color w:val="403838"/>
          <w:shd w:val="clear" w:color="auto" w:fill="FFFFFF"/>
        </w:rPr>
        <w:t>-Ellison)</w:t>
      </w:r>
    </w:p>
    <w:p w:rsidR="005E1433" w:rsidRPr="002E6210" w:rsidRDefault="005E1433" w:rsidP="00583F91">
      <w:pPr>
        <w:pStyle w:val="ListParagraph"/>
        <w:numPr>
          <w:ilvl w:val="0"/>
          <w:numId w:val="1"/>
        </w:numPr>
        <w:rPr>
          <w:rFonts w:ascii="Times New Roman" w:hAnsi="Times New Roman"/>
        </w:rPr>
      </w:pPr>
      <w:r>
        <w:rPr>
          <w:rFonts w:ascii="Times New Roman" w:hAnsi="Times New Roman"/>
          <w:color w:val="403838"/>
          <w:shd w:val="clear" w:color="auto" w:fill="FFFFFF"/>
        </w:rPr>
        <w:t>Erosive esophagitis</w:t>
      </w:r>
    </w:p>
    <w:p w:rsidR="00583F91" w:rsidRPr="002E6210" w:rsidRDefault="00583F91" w:rsidP="00583F91">
      <w:pPr>
        <w:pStyle w:val="ListParagraph"/>
        <w:numPr>
          <w:ilvl w:val="0"/>
          <w:numId w:val="1"/>
        </w:numPr>
        <w:rPr>
          <w:rFonts w:ascii="Times New Roman" w:hAnsi="Times New Roman"/>
        </w:rPr>
      </w:pPr>
      <w:r w:rsidRPr="002E6210">
        <w:rPr>
          <w:rFonts w:ascii="Times New Roman" w:hAnsi="Times New Roman"/>
          <w:color w:val="403838"/>
          <w:shd w:val="clear" w:color="auto" w:fill="FFFFFF"/>
        </w:rPr>
        <w:t>GERD with exacerbations within the last 3 months not responsive to H2 blockers and non-pharmacologic techniques</w:t>
      </w:r>
    </w:p>
    <w:p w:rsidR="00583F91" w:rsidRPr="002E6210" w:rsidRDefault="00583F91" w:rsidP="00583F91">
      <w:pPr>
        <w:pStyle w:val="ListParagraph"/>
        <w:numPr>
          <w:ilvl w:val="1"/>
          <w:numId w:val="1"/>
        </w:numPr>
        <w:rPr>
          <w:rFonts w:ascii="Times New Roman" w:hAnsi="Times New Roman"/>
        </w:rPr>
      </w:pPr>
      <w:r w:rsidRPr="002E6210">
        <w:rPr>
          <w:rFonts w:ascii="Times New Roman" w:hAnsi="Times New Roman"/>
          <w:color w:val="403838"/>
          <w:shd w:val="clear" w:color="auto" w:fill="FFFFFF"/>
        </w:rPr>
        <w:t>Consider 2-4 week pulses of therapy with symptoms for those without severe esophagitis</w:t>
      </w:r>
    </w:p>
    <w:p w:rsidR="00583F91" w:rsidRPr="002E6210" w:rsidRDefault="00583F91" w:rsidP="00583F91">
      <w:pPr>
        <w:pStyle w:val="ListParagraph"/>
        <w:numPr>
          <w:ilvl w:val="0"/>
          <w:numId w:val="1"/>
        </w:numPr>
        <w:rPr>
          <w:rFonts w:ascii="Times New Roman" w:hAnsi="Times New Roman"/>
        </w:rPr>
      </w:pPr>
      <w:r w:rsidRPr="002E6210">
        <w:rPr>
          <w:rFonts w:ascii="Times New Roman" w:hAnsi="Times New Roman"/>
          <w:color w:val="403838"/>
          <w:shd w:val="clear" w:color="auto" w:fill="FFFFFF"/>
        </w:rPr>
        <w:t>Recurring symptoms recently associated with severe indigestion within the last 3 months not responsive to H2 blocker or non-pharmacologic techniques</w:t>
      </w:r>
    </w:p>
    <w:p w:rsidR="00583F91" w:rsidRPr="002E6210" w:rsidRDefault="00583F91" w:rsidP="00583F91">
      <w:pPr>
        <w:pStyle w:val="ListParagraph"/>
        <w:numPr>
          <w:ilvl w:val="1"/>
          <w:numId w:val="1"/>
        </w:numPr>
        <w:rPr>
          <w:rFonts w:ascii="Times New Roman" w:hAnsi="Times New Roman"/>
        </w:rPr>
      </w:pPr>
      <w:r w:rsidRPr="002E6210">
        <w:rPr>
          <w:rFonts w:ascii="Times New Roman" w:hAnsi="Times New Roman"/>
          <w:color w:val="403838"/>
          <w:shd w:val="clear" w:color="auto" w:fill="FFFFFF"/>
        </w:rPr>
        <w:t>Consider 2-4 week pulses of therapy with symptoms</w:t>
      </w:r>
    </w:p>
    <w:p w:rsidR="00583F91" w:rsidRPr="002E6210" w:rsidRDefault="00583F91" w:rsidP="00583F91">
      <w:pPr>
        <w:pStyle w:val="ListParagraph"/>
        <w:numPr>
          <w:ilvl w:val="0"/>
          <w:numId w:val="1"/>
        </w:numPr>
        <w:rPr>
          <w:rFonts w:ascii="Times New Roman" w:hAnsi="Times New Roman"/>
        </w:rPr>
      </w:pPr>
      <w:proofErr w:type="spellStart"/>
      <w:r w:rsidRPr="002E6210">
        <w:rPr>
          <w:rStyle w:val="Emphasis"/>
          <w:rFonts w:ascii="Times New Roman" w:hAnsi="Times New Roman"/>
          <w:color w:val="403838"/>
          <w:bdr w:val="none" w:sz="0" w:space="0" w:color="auto" w:frame="1"/>
          <w:shd w:val="clear" w:color="auto" w:fill="FFFFFF"/>
        </w:rPr>
        <w:t>Helicobactor</w:t>
      </w:r>
      <w:proofErr w:type="spellEnd"/>
      <w:r w:rsidRPr="002E6210">
        <w:rPr>
          <w:rStyle w:val="Emphasis"/>
          <w:rFonts w:ascii="Times New Roman" w:hAnsi="Times New Roman"/>
          <w:color w:val="403838"/>
          <w:bdr w:val="none" w:sz="0" w:space="0" w:color="auto" w:frame="1"/>
          <w:shd w:val="clear" w:color="auto" w:fill="FFFFFF"/>
        </w:rPr>
        <w:t xml:space="preserve"> pylori</w:t>
      </w:r>
      <w:r w:rsidRPr="002E6210">
        <w:rPr>
          <w:rStyle w:val="apple-converted-space"/>
          <w:rFonts w:ascii="Times New Roman" w:hAnsi="Times New Roman"/>
          <w:color w:val="403838"/>
          <w:shd w:val="clear" w:color="auto" w:fill="FFFFFF"/>
        </w:rPr>
        <w:t> </w:t>
      </w:r>
      <w:r w:rsidRPr="002E6210">
        <w:rPr>
          <w:rFonts w:ascii="Times New Roman" w:hAnsi="Times New Roman"/>
          <w:color w:val="403838"/>
          <w:shd w:val="clear" w:color="auto" w:fill="FFFFFF"/>
        </w:rPr>
        <w:t>eradication</w:t>
      </w:r>
    </w:p>
    <w:p w:rsidR="00583F91" w:rsidRPr="002E6210" w:rsidRDefault="00583F91" w:rsidP="00583F91">
      <w:pPr>
        <w:pStyle w:val="ListParagraph"/>
        <w:numPr>
          <w:ilvl w:val="0"/>
          <w:numId w:val="1"/>
        </w:numPr>
        <w:rPr>
          <w:rFonts w:ascii="Times New Roman" w:hAnsi="Times New Roman"/>
        </w:rPr>
      </w:pPr>
      <w:r w:rsidRPr="002E6210">
        <w:rPr>
          <w:rStyle w:val="Emphasis"/>
          <w:rFonts w:ascii="Times New Roman" w:hAnsi="Times New Roman"/>
          <w:color w:val="403838"/>
          <w:bdr w:val="none" w:sz="0" w:space="0" w:color="auto" w:frame="1"/>
          <w:shd w:val="clear" w:color="auto" w:fill="FFFFFF"/>
        </w:rPr>
        <w:t>P</w:t>
      </w:r>
      <w:r w:rsidRPr="002E6210">
        <w:rPr>
          <w:rFonts w:ascii="Times New Roman" w:hAnsi="Times New Roman"/>
          <w:color w:val="403838"/>
          <w:shd w:val="clear" w:color="auto" w:fill="FFFFFF"/>
        </w:rPr>
        <w:t xml:space="preserve">rophylaxis for </w:t>
      </w:r>
      <w:proofErr w:type="spellStart"/>
      <w:r w:rsidRPr="002E6210">
        <w:rPr>
          <w:rFonts w:ascii="Times New Roman" w:hAnsi="Times New Roman"/>
          <w:color w:val="403838"/>
          <w:shd w:val="clear" w:color="auto" w:fill="FFFFFF"/>
        </w:rPr>
        <w:t>gastropathies</w:t>
      </w:r>
      <w:proofErr w:type="spellEnd"/>
      <w:r w:rsidRPr="002E6210">
        <w:rPr>
          <w:rFonts w:ascii="Times New Roman" w:hAnsi="Times New Roman"/>
          <w:color w:val="403838"/>
          <w:shd w:val="clear" w:color="auto" w:fill="FFFFFF"/>
        </w:rPr>
        <w:t xml:space="preserve"> associated with long term use of nonsteroidal anti-inflammatory drugs (NSAIDs)</w:t>
      </w:r>
    </w:p>
    <w:p w:rsidR="00583F91" w:rsidRPr="002E6210" w:rsidRDefault="00583F91" w:rsidP="00583F91">
      <w:pPr>
        <w:pStyle w:val="ListParagraph"/>
        <w:numPr>
          <w:ilvl w:val="1"/>
          <w:numId w:val="1"/>
        </w:numPr>
        <w:rPr>
          <w:rFonts w:ascii="Times New Roman" w:hAnsi="Times New Roman"/>
        </w:rPr>
      </w:pPr>
      <w:r w:rsidRPr="002E6210">
        <w:rPr>
          <w:rFonts w:ascii="Times New Roman" w:hAnsi="Times New Roman"/>
          <w:color w:val="403838"/>
          <w:shd w:val="clear" w:color="auto" w:fill="FFFFFF"/>
        </w:rPr>
        <w:t>(</w:t>
      </w:r>
      <w:proofErr w:type="gramStart"/>
      <w:r w:rsidRPr="002E6210">
        <w:rPr>
          <w:rFonts w:ascii="Times New Roman" w:hAnsi="Times New Roman"/>
          <w:color w:val="403838"/>
          <w:shd w:val="clear" w:color="auto" w:fill="FFFFFF"/>
        </w:rPr>
        <w:t>in</w:t>
      </w:r>
      <w:proofErr w:type="gramEnd"/>
      <w:r w:rsidRPr="002E6210">
        <w:rPr>
          <w:rFonts w:ascii="Times New Roman" w:hAnsi="Times New Roman"/>
          <w:color w:val="403838"/>
          <w:shd w:val="clear" w:color="auto" w:fill="FFFFFF"/>
        </w:rPr>
        <w:t xml:space="preserve"> order of importance: history of complicated ulcer disease, concurrent use of &gt;1 NSAID (including aspirin), use of high NSAID doses, concurrent use of an anticoagulant, history of uncomplicated peptic ulcer disease, age &gt;60, and concurrent use of steroids.)</w:t>
      </w:r>
    </w:p>
    <w:p w:rsidR="00583F91" w:rsidRPr="002E6210" w:rsidRDefault="00583F91" w:rsidP="00583F91">
      <w:pPr>
        <w:rPr>
          <w:rFonts w:ascii="Times New Roman" w:hAnsi="Times New Roman"/>
          <w:color w:val="000000"/>
        </w:rPr>
      </w:pPr>
      <w:r w:rsidRPr="002E6210">
        <w:rPr>
          <w:rFonts w:ascii="Times New Roman" w:hAnsi="Times New Roman"/>
          <w:color w:val="000000"/>
        </w:rPr>
        <w:t>Kind Regards,</w:t>
      </w:r>
    </w:p>
    <w:p w:rsidR="00583F91" w:rsidRPr="00583F91" w:rsidRDefault="00583F91">
      <w:pPr>
        <w:rPr>
          <w:lang w:val="en-CA"/>
        </w:rPr>
      </w:pPr>
    </w:p>
    <w:sectPr w:rsidR="00583F91" w:rsidRPr="00583F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A2" w:rsidRDefault="00C909A2" w:rsidP="00583F91">
      <w:pPr>
        <w:spacing w:after="0" w:line="240" w:lineRule="auto"/>
      </w:pPr>
      <w:r>
        <w:separator/>
      </w:r>
    </w:p>
  </w:endnote>
  <w:endnote w:type="continuationSeparator" w:id="0">
    <w:p w:rsidR="00C909A2" w:rsidRDefault="00C909A2" w:rsidP="0058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pPr>
      <w:pStyle w:val="ListParagrap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pPr>
      <w:pStyle w:val="ListParagrap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pPr>
      <w:pStyle w:val="List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A2" w:rsidRDefault="00C909A2" w:rsidP="00583F91">
      <w:pPr>
        <w:spacing w:after="0" w:line="240" w:lineRule="auto"/>
      </w:pPr>
      <w:r>
        <w:separator/>
      </w:r>
    </w:p>
  </w:footnote>
  <w:footnote w:type="continuationSeparator" w:id="0">
    <w:p w:rsidR="00C909A2" w:rsidRDefault="00C909A2" w:rsidP="00583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91" w:rsidRDefault="00583F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28F"/>
    <w:multiLevelType w:val="hybridMultilevel"/>
    <w:tmpl w:val="BEF42692"/>
    <w:lvl w:ilvl="0" w:tplc="10090001">
      <w:start w:val="1"/>
      <w:numFmt w:val="bullet"/>
      <w:lvlText w:val=""/>
      <w:lvlJc w:val="left"/>
      <w:pPr>
        <w:ind w:left="420" w:hanging="360"/>
      </w:pPr>
      <w:rPr>
        <w:rFonts w:ascii="Symbol" w:hAnsi="Symbol" w:hint="default"/>
      </w:rPr>
    </w:lvl>
    <w:lvl w:ilvl="1" w:tplc="10090003">
      <w:start w:val="1"/>
      <w:numFmt w:val="bullet"/>
      <w:lvlText w:val="o"/>
      <w:lvlJc w:val="left"/>
      <w:pPr>
        <w:ind w:left="1140" w:hanging="360"/>
      </w:pPr>
      <w:rPr>
        <w:rFonts w:ascii="Courier New" w:hAnsi="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91"/>
    <w:rsid w:val="002619D5"/>
    <w:rsid w:val="00360C2A"/>
    <w:rsid w:val="00583F91"/>
    <w:rsid w:val="005E1433"/>
    <w:rsid w:val="00C909A2"/>
    <w:rsid w:val="00CD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91"/>
    <w:rPr>
      <w:rFonts w:ascii="Tahoma" w:hAnsi="Tahoma" w:cs="Tahoma"/>
      <w:sz w:val="16"/>
      <w:szCs w:val="16"/>
    </w:rPr>
  </w:style>
  <w:style w:type="character" w:customStyle="1" w:styleId="apple-converted-space">
    <w:name w:val="apple-converted-space"/>
    <w:basedOn w:val="DefaultParagraphFont"/>
    <w:uiPriority w:val="99"/>
    <w:rsid w:val="00583F91"/>
    <w:rPr>
      <w:rFonts w:cs="Times New Roman"/>
    </w:rPr>
  </w:style>
  <w:style w:type="character" w:styleId="Emphasis">
    <w:name w:val="Emphasis"/>
    <w:basedOn w:val="DefaultParagraphFont"/>
    <w:uiPriority w:val="99"/>
    <w:qFormat/>
    <w:rsid w:val="00583F91"/>
    <w:rPr>
      <w:rFonts w:cs="Times New Roman"/>
      <w:i/>
      <w:iCs/>
    </w:rPr>
  </w:style>
  <w:style w:type="paragraph" w:styleId="ListParagraph">
    <w:name w:val="List Paragraph"/>
    <w:basedOn w:val="Normal"/>
    <w:uiPriority w:val="99"/>
    <w:qFormat/>
    <w:rsid w:val="00583F91"/>
    <w:pPr>
      <w:ind w:left="720"/>
      <w:contextualSpacing/>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F91"/>
    <w:rPr>
      <w:rFonts w:ascii="Tahoma" w:hAnsi="Tahoma" w:cs="Tahoma"/>
      <w:sz w:val="16"/>
      <w:szCs w:val="16"/>
    </w:rPr>
  </w:style>
  <w:style w:type="character" w:customStyle="1" w:styleId="apple-converted-space">
    <w:name w:val="apple-converted-space"/>
    <w:basedOn w:val="DefaultParagraphFont"/>
    <w:uiPriority w:val="99"/>
    <w:rsid w:val="00583F91"/>
    <w:rPr>
      <w:rFonts w:cs="Times New Roman"/>
    </w:rPr>
  </w:style>
  <w:style w:type="character" w:styleId="Emphasis">
    <w:name w:val="Emphasis"/>
    <w:basedOn w:val="DefaultParagraphFont"/>
    <w:uiPriority w:val="99"/>
    <w:qFormat/>
    <w:rsid w:val="00583F91"/>
    <w:rPr>
      <w:rFonts w:cs="Times New Roman"/>
      <w:i/>
      <w:iCs/>
    </w:rPr>
  </w:style>
  <w:style w:type="paragraph" w:styleId="ListParagraph">
    <w:name w:val="List Paragraph"/>
    <w:basedOn w:val="Normal"/>
    <w:uiPriority w:val="99"/>
    <w:qFormat/>
    <w:rsid w:val="00583F91"/>
    <w:pPr>
      <w:ind w:left="720"/>
      <w:contextualSpacing/>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MUHC</dc:creator>
  <cp:lastModifiedBy>Todd Lee</cp:lastModifiedBy>
  <cp:revision>2</cp:revision>
  <dcterms:created xsi:type="dcterms:W3CDTF">2014-12-20T19:11:00Z</dcterms:created>
  <dcterms:modified xsi:type="dcterms:W3CDTF">2014-12-20T19:11:00Z</dcterms:modified>
</cp:coreProperties>
</file>