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4D" w:rsidRPr="00767F1F" w:rsidRDefault="0000164D" w:rsidP="0000164D">
      <w:pPr>
        <w:rPr>
          <w:b/>
        </w:rPr>
      </w:pPr>
      <w:bookmarkStart w:id="0" w:name="_GoBack"/>
      <w:bookmarkEnd w:id="0"/>
    </w:p>
    <w:p w:rsidR="0000164D" w:rsidRDefault="0000164D" w:rsidP="000016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3437"/>
        <w:gridCol w:w="3201"/>
      </w:tblGrid>
      <w:tr w:rsidR="0000164D" w:rsidTr="00784AFB">
        <w:tc>
          <w:tcPr>
            <w:tcW w:w="13176" w:type="dxa"/>
            <w:gridSpan w:val="3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>
              <w:rPr>
                <w:b/>
              </w:rPr>
              <w:t>APPENDIX 1: EXPANDED DESCRIPTION OF VARIABLES INCLUDED IN THE PREDICTIVE MODEL</w:t>
            </w:r>
          </w:p>
          <w:p w:rsidR="0000164D" w:rsidRPr="0093409B" w:rsidRDefault="0000164D" w:rsidP="00784AFB">
            <w:pPr>
              <w:rPr>
                <w:b/>
              </w:rPr>
            </w:pPr>
          </w:p>
        </w:tc>
      </w:tr>
      <w:tr w:rsidR="0000164D" w:rsidTr="00784AFB">
        <w:tc>
          <w:tcPr>
            <w:tcW w:w="2808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CATEGORY</w:t>
            </w:r>
          </w:p>
          <w:p w:rsidR="0000164D" w:rsidRPr="0093409B" w:rsidRDefault="0000164D" w:rsidP="00784AFB">
            <w:pPr>
              <w:rPr>
                <w:b/>
              </w:rPr>
            </w:pPr>
          </w:p>
        </w:tc>
        <w:tc>
          <w:tcPr>
            <w:tcW w:w="5490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ELEMENTS INCLUDED</w:t>
            </w:r>
          </w:p>
        </w:tc>
        <w:tc>
          <w:tcPr>
            <w:tcW w:w="4878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COMMENT</w:t>
            </w:r>
          </w:p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Demographics</w:t>
            </w:r>
          </w:p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Age, sex</w:t>
            </w:r>
          </w:p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---</w:t>
            </w:r>
          </w:p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Location</w:t>
            </w:r>
          </w:p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Specific hospital unit indicators</w:t>
            </w:r>
          </w:p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No standard nomenclature exists in our hospital systems; specific identification had to be obtained for each unit (e.g., ward, telemetry unit), whether for inclusion or exclusion of a patient.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  <w:vMerge w:val="restart"/>
          </w:tcPr>
          <w:p w:rsidR="0000164D" w:rsidRDefault="0000164D" w:rsidP="00784AFB"/>
          <w:p w:rsidR="0000164D" w:rsidRDefault="0000164D" w:rsidP="00784AFB">
            <w:r>
              <w:t>Health services</w:t>
            </w:r>
          </w:p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Admission venue (emergency department or not)</w:t>
            </w:r>
          </w:p>
          <w:p w:rsidR="0000164D" w:rsidRDefault="0000164D" w:rsidP="00784AFB"/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Admission venue is employed as a predictor in main equation as well as in one of the two algorithms that generate the LAPS2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  <w:vMerge/>
          </w:tcPr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Elapsed length of stay (LOS) in the hospital</w:t>
            </w:r>
          </w:p>
          <w:p w:rsidR="0000164D" w:rsidRDefault="0000164D" w:rsidP="00784AFB"/>
          <w:p w:rsidR="0000164D" w:rsidRDefault="0000164D" w:rsidP="00784AFB"/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 xml:space="preserve">Refers to cumulative time in the hospital at the time a patient’s </w:t>
            </w:r>
            <w:proofErr w:type="spellStart"/>
            <w:r>
              <w:t>EMR</w:t>
            </w:r>
            <w:proofErr w:type="spellEnd"/>
            <w:r>
              <w:t xml:space="preserve"> is scanned. Since inter-hospital transport is common in </w:t>
            </w:r>
            <w:proofErr w:type="spellStart"/>
            <w:r>
              <w:t>KPNC</w:t>
            </w:r>
            <w:proofErr w:type="spellEnd"/>
            <w:r>
              <w:t xml:space="preserve">, this means a summation of LOS across both units </w:t>
            </w:r>
            <w:r>
              <w:rPr>
                <w:i/>
              </w:rPr>
              <w:t>within</w:t>
            </w:r>
            <w:r>
              <w:t xml:space="preserve"> a hospital stay (e.g., ward, ICU, TCU) as well as hospital stays prior to discharge home or death. T</w:t>
            </w:r>
            <w:r w:rsidRPr="006378B4">
              <w:rPr>
                <w:vertAlign w:val="subscript"/>
              </w:rPr>
              <w:t>0</w:t>
            </w:r>
            <w:r>
              <w:t xml:space="preserve"> is time of rooming in at the first eligible hospital unit. Very difficult variable to calculate in real time environment</w:t>
            </w:r>
          </w:p>
          <w:p w:rsidR="0000164D" w:rsidRDefault="0000164D" w:rsidP="00784AFB"/>
        </w:tc>
      </w:tr>
    </w:tbl>
    <w:p w:rsidR="0000164D" w:rsidRDefault="0000164D" w:rsidP="000016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3519"/>
        <w:gridCol w:w="3222"/>
      </w:tblGrid>
      <w:tr w:rsidR="0000164D" w:rsidTr="00784AFB">
        <w:tc>
          <w:tcPr>
            <w:tcW w:w="13176" w:type="dxa"/>
            <w:gridSpan w:val="3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>
              <w:rPr>
                <w:b/>
              </w:rPr>
              <w:t>APPENDIX 1: EXPANDED DESCRIPTION OF VARIABLES INCLUDED IN THE PREDICTIVE MODEL (continued)</w:t>
            </w:r>
          </w:p>
          <w:p w:rsidR="0000164D" w:rsidRPr="0093409B" w:rsidRDefault="0000164D" w:rsidP="00784AFB">
            <w:pPr>
              <w:rPr>
                <w:b/>
              </w:rPr>
            </w:pPr>
          </w:p>
        </w:tc>
      </w:tr>
      <w:tr w:rsidR="0000164D" w:rsidTr="00784AFB">
        <w:tc>
          <w:tcPr>
            <w:tcW w:w="2808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CATEGORY</w:t>
            </w:r>
          </w:p>
          <w:p w:rsidR="0000164D" w:rsidRPr="0093409B" w:rsidRDefault="0000164D" w:rsidP="00784AFB">
            <w:pPr>
              <w:rPr>
                <w:b/>
              </w:rPr>
            </w:pPr>
          </w:p>
        </w:tc>
        <w:tc>
          <w:tcPr>
            <w:tcW w:w="5490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ELEMENTS INCLUDED</w:t>
            </w:r>
          </w:p>
        </w:tc>
        <w:tc>
          <w:tcPr>
            <w:tcW w:w="4878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COMMENT</w:t>
            </w:r>
          </w:p>
        </w:tc>
      </w:tr>
      <w:tr w:rsidR="0000164D" w:rsidTr="00784AFB">
        <w:tc>
          <w:tcPr>
            <w:tcW w:w="2808" w:type="dxa"/>
            <w:vMerge w:val="restart"/>
          </w:tcPr>
          <w:p w:rsidR="0000164D" w:rsidRDefault="0000164D" w:rsidP="00784AFB"/>
          <w:p w:rsidR="0000164D" w:rsidRDefault="0000164D" w:rsidP="00784AFB">
            <w:r>
              <w:t>Status</w:t>
            </w:r>
          </w:p>
          <w:p w:rsidR="0000164D" w:rsidRDefault="0000164D" w:rsidP="00784AFB"/>
          <w:p w:rsidR="0000164D" w:rsidRDefault="0000164D" w:rsidP="00784AFB"/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Care directive orders</w:t>
            </w:r>
          </w:p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Our electronic record permits 4 categories: full code, partial code, “do not resuscitate,” and comfort care only. Patients with a “comfort care order” are not eligible for an alert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  <w:vMerge/>
          </w:tcPr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Admission status</w:t>
            </w:r>
          </w:p>
          <w:p w:rsidR="0000164D" w:rsidRDefault="0000164D" w:rsidP="00784AFB"/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In order for algorithms to be executed, patients must have been admitted to an eligible unit (ward, TCU, telemetry). Both inpatient and observation admissions are eligible.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  <w:vMerge w:val="restart"/>
          </w:tcPr>
          <w:p w:rsidR="0000164D" w:rsidRDefault="0000164D" w:rsidP="00784AFB"/>
          <w:p w:rsidR="0000164D" w:rsidRDefault="0000164D" w:rsidP="00784AFB">
            <w:r>
              <w:t>Physiologic</w:t>
            </w:r>
          </w:p>
          <w:p w:rsidR="0000164D" w:rsidRDefault="0000164D" w:rsidP="00784AFB"/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Vital signs (temperature, heart rate, respiratory rate, systolic blood pressure, diastolic blood pressure)</w:t>
            </w:r>
            <w:r w:rsidRPr="007C2D71">
              <w:rPr>
                <w:highlight w:val="yellow"/>
              </w:rPr>
              <w:t xml:space="preserve"> </w:t>
            </w:r>
          </w:p>
          <w:p w:rsidR="0000164D" w:rsidRDefault="0000164D" w:rsidP="00784AFB"/>
        </w:tc>
        <w:tc>
          <w:tcPr>
            <w:tcW w:w="4878" w:type="dxa"/>
            <w:vMerge w:val="restart"/>
          </w:tcPr>
          <w:p w:rsidR="0000164D" w:rsidRDefault="0000164D" w:rsidP="00784AFB"/>
          <w:p w:rsidR="0000164D" w:rsidRDefault="0000164D" w:rsidP="00784AFB">
            <w:r>
              <w:t>Obtained from nursing documentation flowsheets. Simple data processing employed (no complex data cleaning, just dropping certain out of range values) prior to secondary statistical processing.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  <w:vMerge/>
          </w:tcPr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Pulse oximetry</w:t>
            </w:r>
          </w:p>
          <w:p w:rsidR="0000164D" w:rsidRDefault="0000164D" w:rsidP="00784AFB"/>
        </w:tc>
        <w:tc>
          <w:tcPr>
            <w:tcW w:w="4878" w:type="dxa"/>
            <w:vMerge/>
          </w:tcPr>
          <w:p w:rsidR="0000164D" w:rsidRDefault="0000164D" w:rsidP="00784AFB"/>
        </w:tc>
      </w:tr>
      <w:tr w:rsidR="0000164D" w:rsidTr="00784AFB">
        <w:tc>
          <w:tcPr>
            <w:tcW w:w="2808" w:type="dxa"/>
            <w:vMerge/>
          </w:tcPr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Neurologic status</w:t>
            </w:r>
          </w:p>
          <w:p w:rsidR="0000164D" w:rsidRDefault="0000164D" w:rsidP="00784AFB"/>
        </w:tc>
        <w:tc>
          <w:tcPr>
            <w:tcW w:w="4878" w:type="dxa"/>
            <w:vMerge/>
          </w:tcPr>
          <w:p w:rsidR="0000164D" w:rsidRDefault="0000164D" w:rsidP="00784AFB"/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Neurological status</w:t>
            </w:r>
          </w:p>
          <w:p w:rsidR="0000164D" w:rsidRDefault="0000164D" w:rsidP="00784AFB"/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Free text entries from nursing documentation flowsheets collapsed into 5 categories</w:t>
            </w:r>
          </w:p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See citation _ for a description of how we collapsed all possible text entries into a simple scoring schema</w:t>
            </w:r>
          </w:p>
          <w:p w:rsidR="0000164D" w:rsidRDefault="0000164D" w:rsidP="00784AFB"/>
        </w:tc>
      </w:tr>
    </w:tbl>
    <w:p w:rsidR="0000164D" w:rsidRDefault="0000164D" w:rsidP="000016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3536"/>
        <w:gridCol w:w="3161"/>
      </w:tblGrid>
      <w:tr w:rsidR="0000164D" w:rsidTr="00784AFB">
        <w:tc>
          <w:tcPr>
            <w:tcW w:w="13176" w:type="dxa"/>
            <w:gridSpan w:val="3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Default="0000164D" w:rsidP="00784AFB">
            <w:pPr>
              <w:rPr>
                <w:b/>
              </w:rPr>
            </w:pPr>
            <w:r>
              <w:rPr>
                <w:b/>
              </w:rPr>
              <w:t>APPENDIX 2:</w:t>
            </w:r>
            <w:r w:rsidRPr="0093409B">
              <w:rPr>
                <w:b/>
              </w:rPr>
              <w:t xml:space="preserve"> PREDICTOR VARIABLES</w:t>
            </w:r>
            <w:r>
              <w:rPr>
                <w:b/>
              </w:rPr>
              <w:t xml:space="preserve"> – EXPANDED DESCRIPTION </w:t>
            </w:r>
          </w:p>
          <w:p w:rsidR="0000164D" w:rsidRPr="0093409B" w:rsidRDefault="0000164D" w:rsidP="00784AFB">
            <w:pPr>
              <w:rPr>
                <w:b/>
              </w:rPr>
            </w:pPr>
          </w:p>
        </w:tc>
      </w:tr>
      <w:tr w:rsidR="0000164D" w:rsidTr="00784AFB">
        <w:tc>
          <w:tcPr>
            <w:tcW w:w="2808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CATEGORY</w:t>
            </w:r>
          </w:p>
          <w:p w:rsidR="0000164D" w:rsidRPr="0093409B" w:rsidRDefault="0000164D" w:rsidP="00784AFB">
            <w:pPr>
              <w:rPr>
                <w:b/>
              </w:rPr>
            </w:pPr>
          </w:p>
        </w:tc>
        <w:tc>
          <w:tcPr>
            <w:tcW w:w="5490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ELEMENTS INCLUDED</w:t>
            </w:r>
          </w:p>
        </w:tc>
        <w:tc>
          <w:tcPr>
            <w:tcW w:w="4878" w:type="dxa"/>
          </w:tcPr>
          <w:p w:rsidR="0000164D" w:rsidRPr="0093409B" w:rsidRDefault="0000164D" w:rsidP="00784AFB">
            <w:pPr>
              <w:rPr>
                <w:b/>
              </w:rPr>
            </w:pPr>
          </w:p>
          <w:p w:rsidR="0000164D" w:rsidRPr="0093409B" w:rsidRDefault="0000164D" w:rsidP="00784AFB">
            <w:pPr>
              <w:rPr>
                <w:b/>
              </w:rPr>
            </w:pPr>
            <w:r w:rsidRPr="0093409B">
              <w:rPr>
                <w:b/>
              </w:rPr>
              <w:t>COMMENT</w:t>
            </w:r>
          </w:p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Pulse oximetry</w:t>
            </w:r>
          </w:p>
          <w:p w:rsidR="0000164D" w:rsidRDefault="0000164D" w:rsidP="00784AFB"/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Obtained from nursing documentation flowsheets</w:t>
            </w:r>
          </w:p>
          <w:p w:rsidR="0000164D" w:rsidRDefault="0000164D" w:rsidP="00784AFB">
            <w:r>
              <w:t xml:space="preserve"> </w:t>
            </w:r>
          </w:p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pPr>
              <w:tabs>
                <w:tab w:val="center" w:pos="2331"/>
              </w:tabs>
            </w:pPr>
            <w:r>
              <w:t xml:space="preserve">Standardized to mean 0 </w:t>
            </w:r>
            <w:proofErr w:type="spellStart"/>
            <w:r>
              <w:t>std</w:t>
            </w:r>
            <w:proofErr w:type="spellEnd"/>
            <w:r>
              <w:t xml:space="preserve"> 1</w:t>
            </w:r>
          </w:p>
          <w:p w:rsidR="0000164D" w:rsidRDefault="0000164D" w:rsidP="00784AFB"/>
          <w:p w:rsidR="0000164D" w:rsidRDefault="0000164D" w:rsidP="00784AFB">
            <w:r w:rsidRPr="00FD7693">
              <w:t>We need to specify truncation rules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Laboratory test results</w:t>
            </w:r>
          </w:p>
          <w:p w:rsidR="0000164D" w:rsidRDefault="0000164D" w:rsidP="00784AFB"/>
          <w:p w:rsidR="0000164D" w:rsidRDefault="0000164D" w:rsidP="00784AFB"/>
        </w:tc>
        <w:tc>
          <w:tcPr>
            <w:tcW w:w="5490" w:type="dxa"/>
          </w:tcPr>
          <w:p w:rsidR="0000164D" w:rsidRPr="00FD7693" w:rsidRDefault="0000164D" w:rsidP="00784AFB"/>
          <w:p w:rsidR="0000164D" w:rsidRPr="00FD7693" w:rsidRDefault="0000164D" w:rsidP="00784AFB">
            <w:r w:rsidRPr="00FD7693">
              <w:t>Anion Gap</w:t>
            </w:r>
          </w:p>
          <w:p w:rsidR="0000164D" w:rsidRPr="00FD7693" w:rsidRDefault="0000164D" w:rsidP="00784AFB">
            <w:r w:rsidRPr="00FD7693">
              <w:t>Bicarbonate</w:t>
            </w:r>
          </w:p>
          <w:p w:rsidR="0000164D" w:rsidRPr="00FD7693" w:rsidRDefault="0000164D" w:rsidP="00784AFB">
            <w:r w:rsidRPr="00FD7693">
              <w:t>Bicarbonate squared</w:t>
            </w:r>
          </w:p>
          <w:p w:rsidR="0000164D" w:rsidRPr="00FD7693" w:rsidRDefault="0000164D" w:rsidP="00784AFB">
            <w:r w:rsidRPr="00FD7693">
              <w:t>Glucose</w:t>
            </w:r>
          </w:p>
          <w:p w:rsidR="0000164D" w:rsidRPr="00FD7693" w:rsidRDefault="0000164D" w:rsidP="00784AFB">
            <w:r w:rsidRPr="00FD7693">
              <w:t>Hematocrit</w:t>
            </w:r>
          </w:p>
          <w:p w:rsidR="0000164D" w:rsidRPr="00FD7693" w:rsidRDefault="0000164D" w:rsidP="00784AFB">
            <w:r w:rsidRPr="00FD7693">
              <w:t>Hematocrit squared</w:t>
            </w:r>
          </w:p>
          <w:p w:rsidR="0000164D" w:rsidRPr="00FD7693" w:rsidRDefault="0000164D" w:rsidP="00784AFB">
            <w:r w:rsidRPr="00FD7693">
              <w:t>Hematocrit cubed</w:t>
            </w:r>
          </w:p>
          <w:p w:rsidR="0000164D" w:rsidRPr="00FD7693" w:rsidRDefault="0000164D" w:rsidP="00784AFB">
            <w:r w:rsidRPr="00FD7693">
              <w:t>Lactate</w:t>
            </w:r>
          </w:p>
          <w:p w:rsidR="0000164D" w:rsidRPr="00FD7693" w:rsidRDefault="0000164D" w:rsidP="00784AFB">
            <w:r w:rsidRPr="00FD7693">
              <w:t>Log Blood Urea Nitrogen</w:t>
            </w:r>
          </w:p>
          <w:p w:rsidR="0000164D" w:rsidRPr="00FD7693" w:rsidRDefault="0000164D" w:rsidP="00784AFB">
            <w:r w:rsidRPr="00FD7693">
              <w:t>Log Creatinine</w:t>
            </w:r>
          </w:p>
          <w:p w:rsidR="0000164D" w:rsidRPr="00FD7693" w:rsidRDefault="0000164D" w:rsidP="00784AFB">
            <w:r w:rsidRPr="00FD7693">
              <w:t>Log Creatinine squared</w:t>
            </w:r>
          </w:p>
          <w:p w:rsidR="0000164D" w:rsidRPr="00FD7693" w:rsidRDefault="0000164D" w:rsidP="00784AFB">
            <w:r w:rsidRPr="00FD7693">
              <w:t>Sodium</w:t>
            </w:r>
          </w:p>
          <w:p w:rsidR="0000164D" w:rsidRPr="00FD7693" w:rsidRDefault="0000164D" w:rsidP="00784AFB">
            <w:r w:rsidRPr="00FD7693">
              <w:t>Troponin</w:t>
            </w:r>
          </w:p>
          <w:p w:rsidR="0000164D" w:rsidRPr="00FD7693" w:rsidRDefault="0000164D" w:rsidP="00784AFB">
            <w:r w:rsidRPr="00FD7693">
              <w:t>White Blood Cell Count</w:t>
            </w:r>
          </w:p>
          <w:p w:rsidR="0000164D" w:rsidRPr="00FD7693" w:rsidRDefault="0000164D" w:rsidP="00784AFB"/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pPr>
              <w:tabs>
                <w:tab w:val="center" w:pos="2331"/>
              </w:tabs>
            </w:pPr>
            <w:r>
              <w:t xml:space="preserve">Standardized to mean 0 </w:t>
            </w:r>
            <w:proofErr w:type="spellStart"/>
            <w:r>
              <w:t>std</w:t>
            </w:r>
            <w:proofErr w:type="spellEnd"/>
            <w:r>
              <w:t xml:space="preserve"> 1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Laboratory test results (transformed)</w:t>
            </w:r>
          </w:p>
          <w:p w:rsidR="0000164D" w:rsidRDefault="0000164D" w:rsidP="00784AFB"/>
        </w:tc>
        <w:tc>
          <w:tcPr>
            <w:tcW w:w="5490" w:type="dxa"/>
          </w:tcPr>
          <w:p w:rsidR="0000164D" w:rsidRPr="00FD7693" w:rsidRDefault="0000164D" w:rsidP="00784AFB"/>
          <w:p w:rsidR="0000164D" w:rsidRPr="00FD7693" w:rsidRDefault="0000164D" w:rsidP="00784AFB">
            <w:r w:rsidRPr="00FD7693">
              <w:t>Poor Man’s Lactate</w:t>
            </w:r>
          </w:p>
          <w:p w:rsidR="0000164D" w:rsidRPr="00FD7693" w:rsidRDefault="0000164D" w:rsidP="00784AFB">
            <w:r w:rsidRPr="00FD7693">
              <w:t>Shock Index</w:t>
            </w:r>
          </w:p>
          <w:p w:rsidR="0000164D" w:rsidRPr="00FD7693" w:rsidRDefault="0000164D" w:rsidP="00784AFB"/>
          <w:p w:rsidR="0000164D" w:rsidRPr="00FD7693" w:rsidRDefault="0000164D" w:rsidP="00784AFB">
            <w:r w:rsidRPr="00FD7693">
              <w:t>This refers to things like the poor man’s lactate</w:t>
            </w:r>
          </w:p>
          <w:p w:rsidR="0000164D" w:rsidRPr="00FD7693" w:rsidRDefault="0000164D" w:rsidP="00784AFB"/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pPr>
              <w:tabs>
                <w:tab w:val="center" w:pos="2331"/>
              </w:tabs>
            </w:pPr>
            <w:r>
              <w:t xml:space="preserve">Standardized to mean 0 </w:t>
            </w:r>
            <w:proofErr w:type="spellStart"/>
            <w:r>
              <w:t>std</w:t>
            </w:r>
            <w:proofErr w:type="spellEnd"/>
            <w:r>
              <w:t xml:space="preserve"> 1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Composite severity of illness score (LAPS2)</w:t>
            </w:r>
          </w:p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Includes all laboratory test results listed above</w:t>
            </w:r>
          </w:p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See citations 11 and 18 for details on how this score is calculated</w:t>
            </w:r>
          </w:p>
          <w:p w:rsidR="0000164D" w:rsidRDefault="0000164D" w:rsidP="00784AFB"/>
        </w:tc>
      </w:tr>
      <w:tr w:rsidR="0000164D" w:rsidTr="00784AFB">
        <w:tc>
          <w:tcPr>
            <w:tcW w:w="2808" w:type="dxa"/>
          </w:tcPr>
          <w:p w:rsidR="0000164D" w:rsidRDefault="0000164D" w:rsidP="00784AFB"/>
          <w:p w:rsidR="0000164D" w:rsidRDefault="0000164D" w:rsidP="00784AFB">
            <w:r>
              <w:t>Composite comorbidity score (COPS2)</w:t>
            </w:r>
          </w:p>
          <w:p w:rsidR="0000164D" w:rsidRDefault="0000164D" w:rsidP="00784AFB"/>
        </w:tc>
        <w:tc>
          <w:tcPr>
            <w:tcW w:w="5490" w:type="dxa"/>
          </w:tcPr>
          <w:p w:rsidR="0000164D" w:rsidRDefault="0000164D" w:rsidP="00784AFB"/>
          <w:p w:rsidR="0000164D" w:rsidRDefault="0000164D" w:rsidP="00784AFB">
            <w:r>
              <w:t>All International Classification of Diseases diagnosis codes incurred by a patient in preceding 12 months</w:t>
            </w:r>
          </w:p>
          <w:p w:rsidR="0000164D" w:rsidRDefault="0000164D" w:rsidP="00784AFB"/>
        </w:tc>
        <w:tc>
          <w:tcPr>
            <w:tcW w:w="4878" w:type="dxa"/>
          </w:tcPr>
          <w:p w:rsidR="0000164D" w:rsidRDefault="0000164D" w:rsidP="00784AFB"/>
          <w:p w:rsidR="0000164D" w:rsidRDefault="0000164D" w:rsidP="00784AFB">
            <w:r>
              <w:t>See citation 18 for details on how this score is calculated</w:t>
            </w:r>
          </w:p>
          <w:p w:rsidR="0000164D" w:rsidRDefault="0000164D" w:rsidP="00784AFB"/>
        </w:tc>
      </w:tr>
    </w:tbl>
    <w:p w:rsidR="0000164D" w:rsidRDefault="0000164D" w:rsidP="0000164D">
      <w:r>
        <w:br w:type="page"/>
      </w:r>
    </w:p>
    <w:p w:rsidR="0000164D" w:rsidRDefault="0000164D" w:rsidP="0000164D">
      <w:pPr>
        <w:pStyle w:val="NoSpacing"/>
        <w:spacing w:line="480" w:lineRule="auto"/>
        <w:rPr>
          <w:b/>
        </w:rPr>
      </w:pPr>
      <w:r>
        <w:rPr>
          <w:b/>
        </w:rPr>
        <w:lastRenderedPageBreak/>
        <w:t>APPENDIX 3: INSTANTIATION APPROACHES WE CONSIDERED</w:t>
      </w:r>
    </w:p>
    <w:p w:rsidR="0000164D" w:rsidRDefault="0000164D" w:rsidP="0000164D">
      <w:pPr>
        <w:pStyle w:val="NoSpacing"/>
        <w:spacing w:line="480" w:lineRule="auto"/>
        <w:rPr>
          <w:rFonts w:cs="Arial"/>
        </w:rPr>
      </w:pPr>
      <w:r w:rsidRPr="00B446BE">
        <w:t>Curr</w:t>
      </w:r>
      <w:r w:rsidRPr="00953FC6">
        <w:t xml:space="preserve">ently, three broad strategies for instantiating predictive models in the </w:t>
      </w:r>
      <w:proofErr w:type="spellStart"/>
      <w:r w:rsidRPr="00953FC6">
        <w:t>EMR</w:t>
      </w:r>
      <w:proofErr w:type="spellEnd"/>
      <w:r w:rsidRPr="00953FC6">
        <w:t xml:space="preserve"> are being explored in several Kaiser Permanente regions. One approach consists of creating a real time copy of </w:t>
      </w:r>
      <w:proofErr w:type="spellStart"/>
      <w:r w:rsidRPr="00953FC6">
        <w:t>EMR</w:t>
      </w:r>
      <w:proofErr w:type="spellEnd"/>
      <w:r w:rsidRPr="00953FC6">
        <w:t xml:space="preserve"> data in a data repository that (with a small time delay) mirrors the “front end.” It is then possible to perform calculations using these data; results from these calculations can then be reported in an external viewer or via a web link in the </w:t>
      </w:r>
      <w:proofErr w:type="spellStart"/>
      <w:r w:rsidRPr="00953FC6">
        <w:t>EMR</w:t>
      </w:r>
      <w:proofErr w:type="spellEnd"/>
      <w:r w:rsidRPr="00953FC6">
        <w:t xml:space="preserve">. A second approach involves embedding a predictive model directly into the </w:t>
      </w:r>
      <w:proofErr w:type="spellStart"/>
      <w:r w:rsidRPr="00953FC6">
        <w:t>EMR</w:t>
      </w:r>
      <w:proofErr w:type="spellEnd"/>
      <w:r w:rsidRPr="00953FC6">
        <w:t xml:space="preserve"> such that calculations are executed using the native code used by the system (in this case, </w:t>
      </w:r>
      <w:proofErr w:type="spellStart"/>
      <w:r w:rsidRPr="00953FC6">
        <w:t>Caché</w:t>
      </w:r>
      <w:proofErr w:type="spellEnd"/>
      <w:r w:rsidRPr="00953FC6">
        <w:t xml:space="preserve">, www.intersystems.com).  As “proof of concept” that one could embed equations in Epic, our team worked with the Kaiser Permanente </w:t>
      </w:r>
      <w:proofErr w:type="spellStart"/>
      <w:r w:rsidRPr="00953FC6">
        <w:t>EMR</w:t>
      </w:r>
      <w:proofErr w:type="spellEnd"/>
      <w:r w:rsidRPr="00953FC6">
        <w:t xml:space="preserve"> team on a project that applies the American Academy of Pediatrics’ bilirubin guideline nomogram to neonatal bilirubin results</w:t>
      </w:r>
      <w:r>
        <w:rPr>
          <w:vertAlign w:val="superscript"/>
        </w:rPr>
        <w:t>1, 2</w:t>
      </w:r>
      <w:r w:rsidRPr="00B446BE">
        <w:t>.</w:t>
      </w:r>
      <w:r w:rsidRPr="00953FC6">
        <w:t xml:space="preserve">This automated system has now been running in </w:t>
      </w:r>
      <w:proofErr w:type="spellStart"/>
      <w:r w:rsidRPr="00953FC6">
        <w:t>KPNC</w:t>
      </w:r>
      <w:proofErr w:type="spellEnd"/>
      <w:r w:rsidRPr="00953FC6">
        <w:t xml:space="preserve"> for several years. Lastly, it is possible to employ a technology known as a web service, which extracts (“pulls”) data from the </w:t>
      </w:r>
      <w:proofErr w:type="spellStart"/>
      <w:r w:rsidRPr="00953FC6">
        <w:t>EMR</w:t>
      </w:r>
      <w:proofErr w:type="spellEnd"/>
      <w:r w:rsidRPr="00953FC6">
        <w:t xml:space="preserve">, transmits it to a second application where calculations are performed. It is then possible to “push” these results back into the </w:t>
      </w:r>
      <w:proofErr w:type="spellStart"/>
      <w:r w:rsidRPr="00953FC6">
        <w:t>EMR</w:t>
      </w:r>
      <w:proofErr w:type="spellEnd"/>
      <w:r w:rsidRPr="00953FC6">
        <w:t xml:space="preserve"> so they can be displayed for clinicians. We excluded the first option because displaying results outside the </w:t>
      </w:r>
      <w:proofErr w:type="spellStart"/>
      <w:r w:rsidRPr="00953FC6">
        <w:t>EMR</w:t>
      </w:r>
      <w:proofErr w:type="spellEnd"/>
      <w:r w:rsidRPr="00953FC6">
        <w:t xml:space="preserve"> was not an option given </w:t>
      </w:r>
      <w:r w:rsidRPr="00953FC6">
        <w:rPr>
          <w:rFonts w:cs="Arial"/>
        </w:rPr>
        <w:t>the need to have clinician acceptance</w:t>
      </w:r>
      <w:r w:rsidRPr="00953FC6">
        <w:t>.  In theory, the second option was attractive. However, the bilirubin algorithm only uses 4 variables (chronological age, gestational age, direct antibody test, and bilirubin test result), whereas the current equations have many more variables</w:t>
      </w:r>
      <w:r>
        <w:t xml:space="preserve">. </w:t>
      </w:r>
      <w:r w:rsidRPr="00953FC6">
        <w:rPr>
          <w:rFonts w:cs="Arial"/>
        </w:rPr>
        <w:t xml:space="preserve">Given the complexity of the calculations involving many variables we elected to employ web services to extract data for processing using a Java application outside the </w:t>
      </w:r>
      <w:proofErr w:type="spellStart"/>
      <w:r w:rsidRPr="00953FC6">
        <w:rPr>
          <w:rFonts w:cs="Arial"/>
        </w:rPr>
        <w:t>EMR</w:t>
      </w:r>
      <w:proofErr w:type="spellEnd"/>
      <w:r w:rsidRPr="00953FC6">
        <w:rPr>
          <w:rFonts w:cs="Arial"/>
        </w:rPr>
        <w:t xml:space="preserve">, which then “pushed” results into the </w:t>
      </w:r>
      <w:proofErr w:type="spellStart"/>
      <w:r w:rsidRPr="00953FC6">
        <w:rPr>
          <w:rFonts w:cs="Arial"/>
        </w:rPr>
        <w:t>EMR</w:t>
      </w:r>
      <w:proofErr w:type="spellEnd"/>
      <w:r w:rsidRPr="00953FC6">
        <w:rPr>
          <w:rFonts w:cs="Arial"/>
        </w:rPr>
        <w:t xml:space="preserve"> “front end</w:t>
      </w:r>
      <w:r>
        <w:rPr>
          <w:rFonts w:cs="Arial"/>
        </w:rPr>
        <w:t>.</w:t>
      </w:r>
      <w:r w:rsidRPr="00953FC6">
        <w:rPr>
          <w:rFonts w:cs="Arial"/>
        </w:rPr>
        <w:t>”</w:t>
      </w:r>
    </w:p>
    <w:p w:rsidR="0000164D" w:rsidRDefault="0000164D" w:rsidP="0000164D">
      <w:pPr>
        <w:pStyle w:val="NoSpacing"/>
        <w:rPr>
          <w:rFonts w:cs="Arial"/>
        </w:rPr>
      </w:pPr>
      <w:r>
        <w:rPr>
          <w:rFonts w:cs="Arial"/>
        </w:rPr>
        <w:t>___________________</w:t>
      </w:r>
    </w:p>
    <w:p w:rsidR="0000164D" w:rsidRDefault="0000164D" w:rsidP="0000164D">
      <w:pPr>
        <w:pStyle w:val="NoSpacing"/>
        <w:rPr>
          <w:rFonts w:cs="Arial"/>
        </w:rPr>
      </w:pPr>
      <w:r>
        <w:rPr>
          <w:rFonts w:cs="Arial"/>
        </w:rPr>
        <w:t xml:space="preserve">1. American Academy of Pediatrics. </w:t>
      </w:r>
      <w:r w:rsidRPr="00F672A2">
        <w:rPr>
          <w:rFonts w:cs="Arial"/>
        </w:rPr>
        <w:t>Management of hyperbilirubinemia in the newborn infant 35 or more weeks of gestation. Pediatrics. Jul 2004;114(1):297-316.</w:t>
      </w:r>
    </w:p>
    <w:p w:rsidR="0000164D" w:rsidRPr="00F672A2" w:rsidRDefault="0000164D" w:rsidP="0000164D">
      <w:pPr>
        <w:pStyle w:val="NoSpacing"/>
        <w:rPr>
          <w:rFonts w:cs="Arial"/>
        </w:rPr>
      </w:pPr>
    </w:p>
    <w:p w:rsidR="0000164D" w:rsidRPr="00953FC6" w:rsidRDefault="0000164D" w:rsidP="0000164D">
      <w:pPr>
        <w:pStyle w:val="NoSpacing"/>
        <w:rPr>
          <w:b/>
        </w:rPr>
      </w:pPr>
      <w:r>
        <w:rPr>
          <w:rFonts w:cs="Arial"/>
        </w:rPr>
        <w:lastRenderedPageBreak/>
        <w:t xml:space="preserve">2. American Academy of Pediatrics. </w:t>
      </w:r>
      <w:r w:rsidRPr="00F672A2">
        <w:rPr>
          <w:rFonts w:cs="Arial"/>
        </w:rPr>
        <w:t>Management of hyperbilirubinemia in the newborn infant 35 or more weeks of gestation. Pediatrics. 2004;114(4):1138.</w:t>
      </w:r>
    </w:p>
    <w:p w:rsidR="003A3310" w:rsidRDefault="003A3310"/>
    <w:sectPr w:rsidR="003A3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D"/>
    <w:rsid w:val="0000164D"/>
    <w:rsid w:val="000D3225"/>
    <w:rsid w:val="003A3310"/>
    <w:rsid w:val="006E098F"/>
    <w:rsid w:val="009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4D"/>
    <w:rPr>
      <w:rFonts w:ascii="Arial" w:eastAsiaTheme="minorHAnsi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64D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59"/>
    <w:rsid w:val="0000164D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0164D"/>
    <w:rPr>
      <w:rFonts w:ascii="Arial" w:eastAsiaTheme="minorHAnsi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4D"/>
    <w:rPr>
      <w:rFonts w:ascii="Arial" w:eastAsiaTheme="minorHAnsi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64D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59"/>
    <w:rsid w:val="0000164D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0164D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2</cp:revision>
  <dcterms:created xsi:type="dcterms:W3CDTF">2016-08-29T23:05:00Z</dcterms:created>
  <dcterms:modified xsi:type="dcterms:W3CDTF">2016-08-29T23:10:00Z</dcterms:modified>
</cp:coreProperties>
</file>