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A5" w:rsidRDefault="006E5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D01B60">
        <w:rPr>
          <w:rFonts w:ascii="Times New Roman" w:hAnsi="Times New Roman" w:cs="Times New Roman"/>
          <w:b/>
          <w:sz w:val="24"/>
          <w:szCs w:val="24"/>
        </w:rPr>
        <w:t>B</w:t>
      </w:r>
      <w:r w:rsidR="003430CD">
        <w:rPr>
          <w:rFonts w:ascii="Times New Roman" w:hAnsi="Times New Roman" w:cs="Times New Roman"/>
          <w:b/>
          <w:sz w:val="24"/>
          <w:szCs w:val="24"/>
        </w:rPr>
        <w:t>.</w:t>
      </w:r>
      <w:r w:rsidR="003430CD" w:rsidRPr="0034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68" w:rsidRPr="006E279C">
        <w:rPr>
          <w:rFonts w:ascii="Times New Roman" w:hAnsi="Times New Roman" w:cs="Times New Roman"/>
          <w:sz w:val="24"/>
          <w:szCs w:val="24"/>
        </w:rPr>
        <w:t>Frequency of transfer in days after index hospital admission</w:t>
      </w:r>
    </w:p>
    <w:p w:rsidR="003430CD" w:rsidRDefault="00094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700405</wp:posOffset>
                </wp:positionV>
                <wp:extent cx="0" cy="27051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0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pt;margin-top:55.15pt;width:0;height:21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700405</wp:posOffset>
                </wp:positionV>
                <wp:extent cx="447675" cy="2705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70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37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.5pt;margin-top:55.15pt;width:35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" fillcolor="#d8d8d8 [2732]" stroked="f">
                <v:fill opacity="24158f"/>
              </v:rect>
            </w:pict>
          </mc:Fallback>
        </mc:AlternateContent>
      </w:r>
      <w:r w:rsidR="003430CD" w:rsidRPr="003430C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29400" cy="38957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30CD" w:rsidRPr="003430CD" w:rsidRDefault="00F11068" w:rsidP="003430CD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transferred patients, the most common day of </w:t>
      </w:r>
      <w:r w:rsidR="00D860B0">
        <w:rPr>
          <w:rFonts w:ascii="Times New Roman" w:hAnsi="Times New Roman" w:cs="Times New Roman"/>
          <w:sz w:val="24"/>
          <w:szCs w:val="24"/>
        </w:rPr>
        <w:t>interhospital transfers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was day after index hospital admission (hospital day </w:t>
      </w:r>
      <w:r w:rsidR="002272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24.7%). Shaded region demonstrates 75% of transferred patients are</w:t>
      </w:r>
      <w:r w:rsidR="002272B6">
        <w:rPr>
          <w:rFonts w:ascii="Times New Roman" w:hAnsi="Times New Roman" w:cs="Times New Roman"/>
          <w:sz w:val="24"/>
          <w:szCs w:val="24"/>
        </w:rPr>
        <w:t xml:space="preserve"> transferred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B6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hospital day </w:t>
      </w:r>
      <w:r w:rsidR="002272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0CD">
        <w:rPr>
          <w:rFonts w:ascii="Times New Roman" w:hAnsi="Times New Roman" w:cs="Times New Roman"/>
          <w:sz w:val="24"/>
          <w:szCs w:val="24"/>
        </w:rPr>
        <w:tab/>
      </w:r>
    </w:p>
    <w:sectPr w:rsidR="003430CD" w:rsidRPr="003430CD" w:rsidSect="00ED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CD"/>
    <w:rsid w:val="0009436D"/>
    <w:rsid w:val="002272B6"/>
    <w:rsid w:val="002953CC"/>
    <w:rsid w:val="003430CD"/>
    <w:rsid w:val="00411537"/>
    <w:rsid w:val="00531AF3"/>
    <w:rsid w:val="006E279C"/>
    <w:rsid w:val="006E5FC1"/>
    <w:rsid w:val="009A26BE"/>
    <w:rsid w:val="00A651D3"/>
    <w:rsid w:val="00AB6EDA"/>
    <w:rsid w:val="00D01B60"/>
    <w:rsid w:val="00D448C5"/>
    <w:rsid w:val="00D860B0"/>
    <w:rsid w:val="00DA1EAF"/>
    <w:rsid w:val="00ED51A5"/>
    <w:rsid w:val="00F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B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934\AppData\Local\Microsoft\Windows\Temporary%20Internet%20Files\Content.Outlook\TD0A49M7\Transfer_sample_and_results-2016-10-01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543963254593201E-2"/>
          <c:y val="0.18554425488480647"/>
          <c:w val="0.68993438320209988"/>
          <c:h val="0.68921660834062359"/>
        </c:manualLayout>
      </c:layout>
      <c:barChart>
        <c:barDir val="col"/>
        <c:grouping val="clustered"/>
        <c:varyColors val="0"/>
        <c:ser>
          <c:idx val="0"/>
          <c:order val="0"/>
          <c:tx>
            <c:v>Trasfer Rate</c:v>
          </c:tx>
          <c:invertIfNegative val="0"/>
          <c:val>
            <c:numRef>
              <c:f>Transpts_daystoTrans!$C$3:$C$53</c:f>
              <c:numCache>
                <c:formatCode>General</c:formatCode>
                <c:ptCount val="51"/>
                <c:pt idx="0">
                  <c:v>12.29</c:v>
                </c:pt>
                <c:pt idx="1">
                  <c:v>24.86</c:v>
                </c:pt>
                <c:pt idx="2">
                  <c:v>16.829999999999988</c:v>
                </c:pt>
                <c:pt idx="3">
                  <c:v>12.450000000000006</c:v>
                </c:pt>
                <c:pt idx="4">
                  <c:v>8.5300000000000011</c:v>
                </c:pt>
                <c:pt idx="5">
                  <c:v>5.88</c:v>
                </c:pt>
                <c:pt idx="6">
                  <c:v>4.45</c:v>
                </c:pt>
                <c:pt idx="7">
                  <c:v>3.29</c:v>
                </c:pt>
                <c:pt idx="8">
                  <c:v>2.4899999999999998</c:v>
                </c:pt>
                <c:pt idx="9">
                  <c:v>1.6900000000000008</c:v>
                </c:pt>
                <c:pt idx="10">
                  <c:v>1.37</c:v>
                </c:pt>
                <c:pt idx="11">
                  <c:v>1.01</c:v>
                </c:pt>
                <c:pt idx="12">
                  <c:v>0.8200000000000004</c:v>
                </c:pt>
                <c:pt idx="13">
                  <c:v>0.7000000000000004</c:v>
                </c:pt>
                <c:pt idx="14">
                  <c:v>0.52</c:v>
                </c:pt>
                <c:pt idx="15">
                  <c:v>0.45</c:v>
                </c:pt>
                <c:pt idx="16">
                  <c:v>0.33000000000000035</c:v>
                </c:pt>
                <c:pt idx="17">
                  <c:v>0.28000000000000008</c:v>
                </c:pt>
                <c:pt idx="18">
                  <c:v>0.23</c:v>
                </c:pt>
                <c:pt idx="19">
                  <c:v>0.2100000000000001</c:v>
                </c:pt>
                <c:pt idx="20">
                  <c:v>0.17</c:v>
                </c:pt>
                <c:pt idx="21">
                  <c:v>0.15000000000000011</c:v>
                </c:pt>
                <c:pt idx="22">
                  <c:v>0.13</c:v>
                </c:pt>
                <c:pt idx="23">
                  <c:v>0.1</c:v>
                </c:pt>
                <c:pt idx="24">
                  <c:v>8.0000000000000057E-2</c:v>
                </c:pt>
                <c:pt idx="25">
                  <c:v>5.0000000000000017E-2</c:v>
                </c:pt>
                <c:pt idx="26">
                  <c:v>7.0000000000000034E-2</c:v>
                </c:pt>
                <c:pt idx="27">
                  <c:v>6.0000000000000032E-2</c:v>
                </c:pt>
                <c:pt idx="28">
                  <c:v>6.0000000000000032E-2</c:v>
                </c:pt>
                <c:pt idx="29">
                  <c:v>4.0000000000000029E-2</c:v>
                </c:pt>
                <c:pt idx="30">
                  <c:v>4.0000000000000029E-2</c:v>
                </c:pt>
                <c:pt idx="31">
                  <c:v>3.0000000000000009E-2</c:v>
                </c:pt>
                <c:pt idx="32">
                  <c:v>3.0000000000000009E-2</c:v>
                </c:pt>
                <c:pt idx="33">
                  <c:v>4.0000000000000029E-2</c:v>
                </c:pt>
                <c:pt idx="34">
                  <c:v>2.0000000000000014E-2</c:v>
                </c:pt>
                <c:pt idx="35">
                  <c:v>3.0000000000000009E-2</c:v>
                </c:pt>
                <c:pt idx="36">
                  <c:v>2.0000000000000014E-2</c:v>
                </c:pt>
                <c:pt idx="37">
                  <c:v>2.0000000000000014E-2</c:v>
                </c:pt>
                <c:pt idx="38">
                  <c:v>2.0000000000000014E-2</c:v>
                </c:pt>
                <c:pt idx="39">
                  <c:v>2.0000000000000014E-2</c:v>
                </c:pt>
                <c:pt idx="40">
                  <c:v>1.0000000000000007E-2</c:v>
                </c:pt>
                <c:pt idx="41">
                  <c:v>1.0000000000000007E-2</c:v>
                </c:pt>
                <c:pt idx="42">
                  <c:v>1.0000000000000007E-2</c:v>
                </c:pt>
                <c:pt idx="43">
                  <c:v>1.0000000000000007E-2</c:v>
                </c:pt>
                <c:pt idx="44">
                  <c:v>1.0000000000000007E-2</c:v>
                </c:pt>
                <c:pt idx="45">
                  <c:v>1.0000000000000007E-2</c:v>
                </c:pt>
                <c:pt idx="46">
                  <c:v>1.0000000000000007E-2</c:v>
                </c:pt>
                <c:pt idx="47">
                  <c:v>0</c:v>
                </c:pt>
                <c:pt idx="48">
                  <c:v>0</c:v>
                </c:pt>
                <c:pt idx="49">
                  <c:v>1.0000000000000007E-2</c:v>
                </c:pt>
                <c:pt idx="5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01-4728-8692-23CB90654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55840"/>
        <c:axId val="140820480"/>
      </c:barChart>
      <c:catAx>
        <c:axId val="120355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Days Following Index Hospital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Admission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0820480"/>
        <c:crosses val="autoZero"/>
        <c:auto val="1"/>
        <c:lblAlgn val="ctr"/>
        <c:lblOffset val="100"/>
        <c:noMultiLvlLbl val="0"/>
      </c:catAx>
      <c:valAx>
        <c:axId val="140820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 Percent of Transferred Patients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0355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D88B-4106-4A49-84DC-E761F222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Mary</cp:lastModifiedBy>
  <cp:revision>5</cp:revision>
  <cp:lastPrinted>2016-11-18T19:22:00Z</cp:lastPrinted>
  <dcterms:created xsi:type="dcterms:W3CDTF">2017-04-25T22:02:00Z</dcterms:created>
  <dcterms:modified xsi:type="dcterms:W3CDTF">2017-05-04T12:09:00Z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